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EJEMPLO DE ESTRUCTURA REORGANIZADA PARA LA SECUENCIA DE ENSEÑANZA</w:t>
      </w:r>
    </w:p>
    <w:p>
      <w:pPr>
        <w:pStyle w:val="Heading2"/>
        <w:jc w:val="center"/>
      </w:pPr>
      <w:r>
        <w:t>SECUENCIA DIDÁCTICA: "MATEMÁTICAS EN NUESTRO TERRITORIO"</w:t>
      </w:r>
    </w:p>
    <w:p>
      <w:r>
        <w:t>Grado: Preescolar a 3° de primaria</w:t>
      </w:r>
    </w:p>
    <w:p>
      <w:r>
        <w:t>Duración: 7 sesiones (ajustar según necesidad)</w:t>
      </w:r>
    </w:p>
    <w:p>
      <w:r>
        <w:t>---</w:t>
      </w:r>
    </w:p>
    <w:p>
      <w:pPr>
        <w:pStyle w:val="Heading2"/>
      </w:pPr>
      <w:r>
        <w:t>1. DESCRIPCIÓN DEL PROBLEMA EDUCATIVO</w:t>
      </w:r>
    </w:p>
    <w:p>
      <w:r>
        <w:t>(Basado en los DBA del MEN Colombia y la caracterización realizada)</w:t>
      </w:r>
    </w:p>
    <w:p>
      <w:r>
        <w:t>- Problema central: Dificultades en el desarrollo del pensamiento numérico (conteo, clasificación y representación simbólica de cantidades), evidenciado en la caracterización mediante:</w:t>
      </w:r>
    </w:p>
    <w:p>
      <w:r>
        <w:t xml:space="preserve">  - Bajo dominio de correspondencia uno a uno en preescolar (DBA: "Establece relaciones de cantidad").</w:t>
      </w:r>
    </w:p>
    <w:p>
      <w:r>
        <w:t xml:space="preserve">  - Confusión entre registros gráficos y simbólicos en 1°-3° (DBA: "Usa diferentes representaciones para expresar cantidades").</w:t>
      </w:r>
    </w:p>
    <w:p>
      <w:r>
        <w:t xml:space="preserve">  - Escasa vinculación de las matemáticas con contextos cotidianos (DBA: "Resuelve problemas relacionados con su entorno").</w:t>
      </w:r>
    </w:p>
    <w:p>
      <w:r>
        <w:t>- Brecha identificada: Los niños no superan el nivel icónico (Dienes) y presentan resistencia a la abstracción, según los resultados de la caracterización.</w:t>
      </w:r>
    </w:p>
    <w:p>
      <w:pPr>
        <w:pStyle w:val="Heading2"/>
      </w:pPr>
      <w:r>
        <w:t>2. JUSTIFICACIÓN DE LOS ENFOQUES PEDAGÓGICOS</w:t>
      </w:r>
    </w:p>
    <w:p>
      <w:r>
        <w:t>(Inferidos de las necesidades educativas detectadas)</w:t>
      </w:r>
    </w:p>
    <w:p>
      <w:r>
        <w:t>1. Aprendizaje Basado en Juegos (ABJ):</w:t>
      </w:r>
    </w:p>
    <w:p>
      <w:r>
        <w:t xml:space="preserve">   - Fundamentación: Permite transitar de lo concreto a lo abstracto mediante manipulación de materiales (Piaget).</w:t>
      </w:r>
    </w:p>
    <w:p>
      <w:r>
        <w:t xml:space="preserve">   - Vinculación con la necesidad: Los niños requieren reforzar el conteo y la clasificación en contextos lúdicos, dado su bajo desempeño en actividades simbólicas puras.</w:t>
      </w:r>
    </w:p>
    <w:p>
      <w:r>
        <w:t>2. Enfoque Sociocultural:</w:t>
      </w:r>
    </w:p>
    <w:p>
      <w:r>
        <w:t xml:space="preserve">   - Fundamentación: La mediación cultural (Vygotsky) facilita aprendizajes significativos.</w:t>
      </w:r>
    </w:p>
    <w:p>
      <w:r>
        <w:t xml:space="preserve">   - Vinculación con la necesidad: La caracterización mostró desconexión entre los contenidos matemáticos y las prácticas locales (ej: comercio de frutas).</w:t>
      </w:r>
    </w:p>
    <w:p>
      <w:r>
        <w:t>3. Registros de Representación Semiótica (Duval):</w:t>
      </w:r>
    </w:p>
    <w:p>
      <w:r>
        <w:t xml:space="preserve">   - Fundamentación: La coordinación entre registros (concreto-gráfico-simbólico) es clave para la comprensión.</w:t>
      </w:r>
    </w:p>
    <w:p>
      <w:r>
        <w:t xml:space="preserve">   - Vinculación con la necesidad: Los errores en evaluaciones previas revelaron dificultades para traducir entre representaciones.</w:t>
      </w:r>
    </w:p>
    <w:p>
      <w:pPr>
        <w:pStyle w:val="Heading2"/>
      </w:pPr>
      <w:r>
        <w:t>3. OBJETIVOS DE APRENDIZAJE POR CLASE</w:t>
      </w:r>
    </w:p>
    <w:p>
      <w:r>
        <w:t>(7 sesiones alineadas a los DBA y enfoques)</w:t>
      </w:r>
    </w:p>
    <w:p>
      <w:pPr>
        <w:pStyle w:val="Heading3"/>
      </w:pPr>
      <w:r>
        <w:t>Sesión 1: "Contamos lo que sembramos"</w:t>
      </w:r>
    </w:p>
    <w:p>
      <w:r>
        <w:t>- Objetivo: Desarrollar correspondencia uno a uno y conteo hasta 20 usando semillas autóctonas (DBA: "Cuenta colecciones de objetos").</w:t>
      </w:r>
    </w:p>
    <w:p>
      <w:pPr>
        <w:pStyle w:val="Heading3"/>
      </w:pPr>
      <w:r>
        <w:t>Sesión 2: "Clasificamos nuestra cosecha"</w:t>
      </w:r>
    </w:p>
    <w:p>
      <w:r>
        <w:t>- Objetivo: Identificar atributos para clasificar objetos (color/tamaño) vinculados a cultivos locales (DBA: "Reconoce propiedades de objetos").</w:t>
      </w:r>
    </w:p>
    <w:p>
      <w:pPr>
        <w:pStyle w:val="Heading3"/>
      </w:pPr>
      <w:r>
        <w:t>Sesión 3: "Del campo al mercado"</w:t>
      </w:r>
    </w:p>
    <w:p>
      <w:r>
        <w:t>- Objetivo: Representar cantidades en registros concretos (frutas), gráficos (tablas) y simbólicos (números) (DBA: "Usa múltiples representaciones").</w:t>
      </w:r>
    </w:p>
    <w:p>
      <w:pPr>
        <w:pStyle w:val="Heading3"/>
      </w:pPr>
      <w:r>
        <w:t>Sesión 4: "Sumamos nuestras ganancias"</w:t>
      </w:r>
    </w:p>
    <w:p>
      <w:r>
        <w:t>- Objetivo: Resolver problemas aditivos simples con monedas ficticias (DBA: "Soluciona situaciones cotidianas con operaciones básicas").</w:t>
      </w:r>
    </w:p>
    <w:p>
      <w:pPr>
        <w:pStyle w:val="Heading3"/>
      </w:pPr>
      <w:r>
        <w:t>Sesión 5: "Patrones en nuestra artesanía"</w:t>
      </w:r>
    </w:p>
    <w:p>
      <w:r>
        <w:t>- Objetivo: Identificar y crear patrones geométricos con materiales locales (DBA: "Reconoce regularidades en secuencias").</w:t>
      </w:r>
    </w:p>
    <w:p>
      <w:pPr>
        <w:pStyle w:val="Heading3"/>
      </w:pPr>
      <w:r>
        <w:t>Sesión 6: "Medimos la tierra"</w:t>
      </w:r>
    </w:p>
    <w:p>
      <w:r>
        <w:t>- Objetivo: Comparar longitudes usando unidades no convencionales (ej: hojas de plátano) (DBA: "Establece relaciones de medida").</w:t>
      </w:r>
    </w:p>
    <w:p>
      <w:pPr>
        <w:pStyle w:val="Heading3"/>
      </w:pPr>
      <w:r>
        <w:t>Sesión 7: "Evaluamos lo aprendido"</w:t>
      </w:r>
    </w:p>
    <w:p>
      <w:r>
        <w:t>- Objetivo: Integrar habilidades mediante la resolución de un problema contextualizado (ej: "Organizar una feria escolar").</w:t>
      </w:r>
    </w:p>
    <w:p>
      <w:pPr>
        <w:pStyle w:val="Heading2"/>
      </w:pPr>
      <w:r>
        <w:t>SESIONES DE INTERVENCIÓN</w:t>
      </w:r>
    </w:p>
    <w:p>
      <w:r>
        <w:t>(Basadas en los DBA del MEN Colombia y los enfoques seleccionados)</w:t>
      </w:r>
    </w:p>
    <w:p>
      <w:r>
        <w:t>---</w:t>
      </w:r>
    </w:p>
    <w:p>
      <w:pPr>
        <w:pStyle w:val="Heading3"/>
      </w:pPr>
      <w:r>
        <w:t>Sesión 1: "Contamos lo que sembramos"</w:t>
      </w:r>
    </w:p>
    <w:p>
      <w:r>
        <w:t>Enfoque principal: Aprendizaje Basado en Juegos (ABJ) + Enfoque Sociocultural</w:t>
      </w:r>
    </w:p>
    <w:p>
      <w:r>
        <w:t>Objetivo: Desarrollar correspondencia uno a uno y conteo hasta 20 usando semillas autóctonas (DBA: "Cuenta colecciones de objetos").</w:t>
      </w:r>
    </w:p>
    <w:p>
      <w:r>
        <w:t>Actividades:</w:t>
      </w:r>
    </w:p>
    <w:p>
      <w:r>
        <w:t>1. Juego de la cosecha:</w:t>
      </w:r>
    </w:p>
    <w:p>
      <w:r>
        <w:t xml:space="preserve">   - Materiales: Semillas de maíz/plátano, canastos pequeños, carteles con números (1-20).</w:t>
      </w:r>
    </w:p>
    <w:p>
      <w:r>
        <w:t xml:space="preserve">   - Desarrollo:</w:t>
      </w:r>
    </w:p>
    <w:p>
      <w:r>
        <w:t xml:space="preserve">     - Los niños simulan recolectar semillas en canastos (1 semilla = 1 número dicho en voz alta).</w:t>
      </w:r>
    </w:p>
    <w:p>
      <w:r>
        <w:t xml:space="preserve">     - Validan conteo comparando con carteles numéricos.</w:t>
      </w:r>
    </w:p>
    <w:p>
      <w:r>
        <w:t xml:space="preserve">   - Evaluación: Lista de cotejo para verificar correspondencia y secuencia correcta.</w:t>
      </w:r>
    </w:p>
    <w:p>
      <w:r>
        <w:t>2. Canción numérica:</w:t>
      </w:r>
    </w:p>
    <w:p>
      <w:r>
        <w:t xml:space="preserve">   - Usan una canción tradicional local (ej: "Los pollitos") para contar hacia adelante y atrás.</w:t>
      </w:r>
    </w:p>
    <w:p>
      <w:pPr>
        <w:pStyle w:val="Heading2"/>
      </w:pPr>
      <w:r>
        <w:t>RECURSOS POR SESIÓN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Sesión</w:t>
            </w:r>
          </w:p>
        </w:tc>
        <w:tc>
          <w:tcPr>
            <w:tcW w:type="dxa" w:w="2880"/>
          </w:tcPr>
          <w:p>
            <w:r>
              <w:t>Materiales clave</w:t>
            </w:r>
          </w:p>
        </w:tc>
        <w:tc>
          <w:tcPr>
            <w:tcW w:type="dxa" w:w="2880"/>
          </w:tcPr>
          <w:p>
            <w:r>
              <w:t>Adaptación contextual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Semillas, canastos</w:t>
            </w:r>
          </w:p>
        </w:tc>
        <w:tc>
          <w:tcPr>
            <w:tcW w:type="dxa" w:w="2880"/>
          </w:tcPr>
          <w:p>
            <w:r>
              <w:t>Uso de cultivos locales (maíz/plátano)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Frutas, billetes de papel</w:t>
            </w:r>
          </w:p>
        </w:tc>
        <w:tc>
          <w:tcPr>
            <w:tcW w:type="dxa" w:w="2880"/>
          </w:tcPr>
          <w:p>
            <w:r>
              <w:t>Moneda local ficticia ("pesos caucasia")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Hojas de plátano, arcilla</w:t>
            </w:r>
          </w:p>
        </w:tc>
        <w:tc>
          <w:tcPr>
            <w:tcW w:type="dxa" w:w="2880"/>
          </w:tcPr>
          <w:p>
            <w:r>
              <w:t>Motivos artesanales veredales</w:t>
            </w:r>
          </w:p>
        </w:tc>
      </w:tr>
    </w:tbl>
    <w:p>
      <w:pPr>
        <w:pStyle w:val="Heading2"/>
      </w:pPr>
      <w:r>
        <w:t>NOTA:</w:t>
      </w:r>
    </w:p>
    <w:p>
      <w:r>
        <w:t>Cada sesión retoma los tres enfoques de manera integrada, pero se enfatiza uno según el objetivo. Por ejemplo:</w:t>
      </w:r>
    </w:p>
    <w:p>
      <w:r>
        <w:t>- ABJ domina en sesiones lúdicas (1, 4, 5).</w:t>
      </w:r>
    </w:p>
    <w:p>
      <w:r>
        <w:t>- Sociocultural es clave en actividades de mercado (3, 6).</w:t>
      </w:r>
    </w:p>
    <w:p>
      <w:r>
        <w:t>- Registros Semióticos se trabaja explícitamente en traducciones (2, 3, 5).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