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28"/>
        </w:rPr>
        <w:t>Ejemplo de diseño de secuencia de clase</w:t>
      </w:r>
    </w:p>
    <w:p>
      <w:r>
        <w:rPr>
          <w:b w:val="0"/>
        </w:rPr>
        <w:t xml:space="preserve">Este es un </w:t>
      </w:r>
      <w:r>
        <w:rPr>
          <w:b/>
        </w:rPr>
        <w:t>diseño de secuencia didáctica</w:t>
      </w:r>
      <w:r>
        <w:t xml:space="preserve"> para la intervención de los docentes en formación de la Práctica V, basado en la caracterización previa y alineado con los enfoques pedagógicos seleccionados. Este modelo integra los tres enfoques elegidos (ejemplo: </w:t>
      </w:r>
      <w:r>
        <w:rPr>
          <w:i/>
        </w:rPr>
        <w:t>Aprendizaje Basado en Juegos</w:t>
      </w:r>
      <w:r>
        <w:t xml:space="preserve">, </w:t>
      </w:r>
      <w:r>
        <w:rPr>
          <w:i/>
        </w:rPr>
        <w:t>Enfoque Sociocultural</w:t>
      </w:r>
      <w:r>
        <w:t xml:space="preserve"> y </w:t>
      </w:r>
      <w:r>
        <w:rPr>
          <w:i/>
        </w:rPr>
        <w:t>Registros de Representación Semiótica</w:t>
      </w:r>
      <w:r>
        <w:t>), pero puedes ajustarlo según los enfoques priorizados en tu diagnóstico:</w:t>
      </w:r>
    </w:p>
    <w:p>
      <w:pPr>
        <w:jc w:val="center"/>
      </w:pPr>
      <w:r>
        <w:t>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SECUENCIA DIDÁCTICA: "MATEMÁTICAS EN NUESTRO TERRITORIO"</w:t>
      </w:r>
    </w:p>
    <w:p>
      <w:r>
        <w:rPr>
          <w:b/>
        </w:rPr>
        <w:t xml:space="preserve">Grado: </w:t>
      </w:r>
      <w:r>
        <w:t>Preescolar a 3° de primaria</w:t>
        <w:br/>
      </w:r>
      <w:r>
        <w:rPr>
          <w:b/>
        </w:rPr>
        <w:t xml:space="preserve">Duración: </w:t>
      </w:r>
      <w:r>
        <w:t>3 sesiones de 60 minutos</w:t>
        <w:br/>
      </w:r>
      <w:r>
        <w:rPr>
          <w:b/>
        </w:rPr>
        <w:t>Enfoques pedagógicos:</w:t>
      </w:r>
      <w:r>
        <w:br/>
        <w:t>1. Aprendizaje Basado en Juegos (ABJ)</w:t>
        <w:br/>
        <w:t>2. Enfoque Sociocultural con pertinencia local</w:t>
        <w:br/>
        <w:t>3. Registros de representación semiótica (Duval)</w:t>
      </w:r>
    </w:p>
    <w:p>
      <w:pPr>
        <w:pStyle w:val="Heading3"/>
      </w:pPr>
      <w:r>
        <w:t>Describa los problemas de aprendizaje que se pretenden abordar en la secuencia didáctica:</w:t>
      </w:r>
    </w:p>
    <w:p/>
    <w:p>
      <w:pPr>
        <w:jc w:val="center"/>
      </w:pPr>
      <w:r>
        <w:t>――――――――――――――――――――――――――――――――――――――――――――――――――</w:t>
      </w:r>
    </w:p>
    <w:p>
      <w:pPr>
        <w:pStyle w:val="Heading3"/>
      </w:pPr>
      <w:r>
        <w:t>Objetivos:</w:t>
      </w:r>
    </w:p>
    <w:p>
      <w:pPr>
        <w:pStyle w:val="ListBullet"/>
      </w:pPr>
      <w:r>
        <w:t>Desarrollar habilidades de conteo, clasificación y representación numérica mediante contextos rurales de Caucasia.</w:t>
      </w:r>
    </w:p>
    <w:p>
      <w:pPr>
        <w:pStyle w:val="ListBullet"/>
      </w:pPr>
      <w:r>
        <w:t>Promover la comprensión de cantidades a través de múltiples representaciones (concreta, gráfica, simbólica).</w:t>
      </w:r>
    </w:p>
    <w:p>
      <w:pPr>
        <w:pStyle w:val="ListBullet"/>
      </w:pPr>
      <w:r>
        <w:t>Fomentar el trabajo colaborativo vinculado a prácticas comunitarias locales.</w:t>
      </w:r>
    </w:p>
    <w:p>
      <w:pPr>
        <w:jc w:val="center"/>
      </w:pPr>
      <w:r>
        <w:t>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Sesión 1: "Contamos lo que sembramos"</w:t>
      </w:r>
      <w:r>
        <w:rPr>
          <w:i/>
        </w:rPr>
        <w:t xml:space="preserve"> (ABJ + Enfoque sociocultural)</w:t>
      </w:r>
    </w:p>
    <w:p>
      <w:pPr>
        <w:pStyle w:val="Heading3"/>
      </w:pPr>
      <w:r>
        <w:t>Actividad 1: Juego de la cosecha</w:t>
      </w:r>
    </w:p>
    <w:p>
      <w:r>
        <w:rPr>
          <w:b/>
        </w:rPr>
        <w:t xml:space="preserve">Materiales: </w:t>
      </w:r>
      <w:r>
        <w:t>Semillas de maíz/plátano, carteles con números, canastos.</w:t>
      </w:r>
    </w:p>
    <w:p>
      <w:r>
        <w:rPr>
          <w:b/>
        </w:rPr>
        <w:t>Desarrollo:</w:t>
      </w:r>
      <w:r>
        <w:br/>
        <w:t>1. Los niños simulan ser agricultores que recolectan semillas. Cada canasto representa una decena.</w:t>
        <w:br/>
        <w:t>2. Clasifican semillas por color/tamaño (clasificación y seriación).</w:t>
        <w:br/>
        <w:t>3. Relacionan cantidades concretas con números escritos (transición a lo simbólico).</w:t>
      </w:r>
    </w:p>
    <w:p>
      <w:r>
        <w:rPr>
          <w:b/>
        </w:rPr>
        <w:t xml:space="preserve">Evaluación: </w:t>
      </w:r>
      <w:r>
        <w:t>Observación directa del uso de estrategias de conteo y participación.</w:t>
      </w:r>
    </w:p>
    <w:p>
      <w:pPr>
        <w:pStyle w:val="Heading3"/>
      </w:pPr>
      <w:r>
        <w:t>Actividad 2: Representación gráfica de la cosecha</w:t>
      </w:r>
    </w:p>
    <w:p>
      <w:r>
        <w:t>- Dibujan en tableros la cantidad de semillas recolectadas (registro icónico).</w:t>
      </w:r>
    </w:p>
    <w:p>
      <w:pPr>
        <w:jc w:val="center"/>
      </w:pPr>
      <w:r>
        <w:t>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Sesión 2: "Del campo al mercado"</w:t>
      </w:r>
      <w:r>
        <w:rPr>
          <w:i/>
        </w:rPr>
        <w:t xml:space="preserve"> (Registros semióticos + Modelación matemática)</w:t>
      </w:r>
    </w:p>
    <w:p>
      <w:pPr>
        <w:pStyle w:val="Heading3"/>
      </w:pPr>
      <w:r>
        <w:t>Actividad 1: Mercado caucasiano</w:t>
      </w:r>
    </w:p>
    <w:p>
      <w:r>
        <w:rPr>
          <w:b/>
        </w:rPr>
        <w:t xml:space="preserve">Materiales: </w:t>
      </w:r>
      <w:r>
        <w:t>Frutas locales (ej: mangos), billetes de papel, balanzas artesanales.</w:t>
      </w:r>
    </w:p>
    <w:p>
      <w:r>
        <w:rPr>
          <w:b/>
        </w:rPr>
        <w:t>Desarrollo:</w:t>
      </w:r>
      <w:r>
        <w:br/>
        <w:t>1. Los niños representan roles (agricultores, comerciantes).</w:t>
        <w:br/>
        <w:t>2. Realizan intercambios:</w:t>
        <w:br/>
        <w:t xml:space="preserve">   - Concreto: Contar frutas.</w:t>
        <w:br/>
        <w:t xml:space="preserve">   - Gráfico: Registrar transacciones en tablas.</w:t>
        <w:br/>
        <w:t xml:space="preserve">   - Simbólico: Usar números y signos (+/-) para calcular ganancias.</w:t>
      </w:r>
    </w:p>
    <w:p>
      <w:r>
        <w:rPr>
          <w:b/>
        </w:rPr>
        <w:t xml:space="preserve">Evaluación: </w:t>
      </w:r>
      <w:r>
        <w:t>Rúbrica de coordinación entre representaciones (Duval).</w:t>
      </w:r>
    </w:p>
    <w:p>
      <w:pPr>
        <w:pStyle w:val="Heading3"/>
      </w:pPr>
      <w:r>
        <w:t>Actividad 2: Problema cotidiano</w:t>
      </w:r>
    </w:p>
    <w:p>
      <w:r>
        <w:t>- Plantear: "Si vendes 5 mangos a $500 cada uno, ¿cuánto dinero ganas?"</w:t>
      </w:r>
    </w:p>
    <w:p>
      <w:pPr>
        <w:jc w:val="center"/>
      </w:pPr>
      <w:r>
        <w:t>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Sesión 3: "Patrones en nuestra artesanía"</w:t>
      </w:r>
      <w:r>
        <w:rPr>
          <w:i/>
        </w:rPr>
        <w:t xml:space="preserve"> (Pensamiento visible + ABJ)</w:t>
      </w:r>
    </w:p>
    <w:p>
      <w:pPr>
        <w:pStyle w:val="Heading3"/>
      </w:pPr>
      <w:r>
        <w:t>Actividad 1: Mandalas con semillas</w:t>
      </w:r>
    </w:p>
    <w:p>
      <w:r>
        <w:rPr>
          <w:b/>
        </w:rPr>
        <w:t xml:space="preserve">Materiales: </w:t>
      </w:r>
      <w:r>
        <w:t>Semillas, hojas de plátano, pegamento.</w:t>
      </w:r>
    </w:p>
    <w:p>
      <w:r>
        <w:rPr>
          <w:b/>
        </w:rPr>
        <w:t>Desarrollo:</w:t>
      </w:r>
      <w:r>
        <w:br/>
        <w:t>1. Crean patrones geométricos con materiales.</w:t>
        <w:br/>
        <w:t>2. Describen patrones oralmente ("2 rojas, 1 negra").</w:t>
        <w:br/>
        <w:t>3. Transcriben patrones a notación simbólica (ej: AAB).</w:t>
      </w:r>
    </w:p>
    <w:p>
      <w:r>
        <w:rPr>
          <w:b/>
        </w:rPr>
        <w:t xml:space="preserve">Evaluación: </w:t>
      </w:r>
      <w:r>
        <w:t>Análisis de trabajos para identificar comprensión de secuencias.</w:t>
      </w:r>
    </w:p>
    <w:p>
      <w:pPr>
        <w:pStyle w:val="Heading3"/>
      </w:pPr>
      <w:r>
        <w:t>Actividad 2: Juego de memoria</w:t>
      </w:r>
    </w:p>
    <w:p>
      <w:r>
        <w:t>- Tarjetas con patrones gráficos vs. simbólicos (emparejar representaciones).</w:t>
      </w:r>
    </w:p>
    <w:p>
      <w:pPr>
        <w:jc w:val="center"/>
      </w:pPr>
      <w:r>
        <w:t>――――――――――――――――――――――――――――――――――――――――――――――――――</w:t>
      </w:r>
    </w:p>
    <w:p>
      <w:pPr>
        <w:pStyle w:val="Heading3"/>
      </w:pPr>
      <w:r>
        <w:t>Recursos adaptados al contexto:</w:t>
      </w:r>
    </w:p>
    <w:p>
      <w:pPr>
        <w:pStyle w:val="ListBullet"/>
      </w:pPr>
      <w:r>
        <w:t>Materiales autóctonos (semillas, arcilla, hojas).</w:t>
      </w:r>
    </w:p>
    <w:p>
      <w:pPr>
        <w:pStyle w:val="ListBullet"/>
      </w:pPr>
      <w:r>
        <w:t>Fotografías de cultivos locales para problemas matemáticos.</w:t>
      </w:r>
    </w:p>
    <w:p>
      <w:pPr>
        <w:pStyle w:val="ListBullet"/>
      </w:pPr>
      <w:r>
        <w:t>Canciones tradicionales con ritmos numéricos (ej: 'La subida del arriero').</w:t>
      </w:r>
    </w:p>
    <w:p>
      <w:pPr>
        <w:jc w:val="center"/>
      </w:pPr>
      <w:r>
        <w:t>――――――――――――――――――――――――――――――――――――――――――――――――――</w:t>
      </w:r>
    </w:p>
    <w:p>
      <w:pPr>
        <w:pStyle w:val="Heading3"/>
      </w:pPr>
      <w:r>
        <w:t>Evaluación integral: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Criterio</w:t>
            </w:r>
          </w:p>
        </w:tc>
        <w:tc>
          <w:tcPr>
            <w:tcW w:type="dxa" w:w="4320"/>
          </w:tcPr>
          <w:p>
            <w:r>
              <w:t>Instrumento</w:t>
            </w:r>
          </w:p>
        </w:tc>
      </w:tr>
      <w:tr>
        <w:tc>
          <w:tcPr>
            <w:tcW w:type="dxa" w:w="4320"/>
          </w:tcPr>
          <w:p>
            <w:r>
              <w:t>Comprensión de cantidades</w:t>
            </w:r>
          </w:p>
        </w:tc>
        <w:tc>
          <w:tcPr>
            <w:tcW w:type="dxa" w:w="4320"/>
          </w:tcPr>
          <w:p>
            <w:r>
              <w:t>Lista de cotejo (conteo oral)</w:t>
            </w:r>
          </w:p>
        </w:tc>
      </w:tr>
      <w:tr>
        <w:tc>
          <w:tcPr>
            <w:tcW w:type="dxa" w:w="4320"/>
          </w:tcPr>
          <w:p>
            <w:r>
              <w:t>Coordinación de registros</w:t>
            </w:r>
          </w:p>
        </w:tc>
        <w:tc>
          <w:tcPr>
            <w:tcW w:type="dxa" w:w="4320"/>
          </w:tcPr>
          <w:p>
            <w:r>
              <w:t>Rúbrica de representaciones</w:t>
            </w:r>
          </w:p>
        </w:tc>
      </w:tr>
      <w:tr>
        <w:tc>
          <w:tcPr>
            <w:tcW w:type="dxa" w:w="4320"/>
          </w:tcPr>
          <w:p>
            <w:r>
              <w:t>Trabajo colaborativo</w:t>
            </w:r>
          </w:p>
        </w:tc>
        <w:tc>
          <w:tcPr>
            <w:tcW w:type="dxa" w:w="4320"/>
          </w:tcPr>
          <w:p>
            <w:r>
              <w:t>Diario de observación</w:t>
            </w:r>
          </w:p>
        </w:tc>
      </w:tr>
    </w:tbl>
    <w:p>
      <w:pPr>
        <w:jc w:val="center"/>
      </w:pPr>
      <w:r>
        <w:t>――――――――――――――――――――――――――――――――――――――――――――――――――</w:t>
      </w:r>
    </w:p>
    <w:p>
      <w:pPr>
        <w:pStyle w:val="Heading3"/>
      </w:pPr>
      <w:r>
        <w:t>Reflexión post-intervención:</w:t>
      </w:r>
    </w:p>
    <w:p>
      <w:pPr>
        <w:pStyle w:val="ListBullet"/>
      </w:pPr>
      <w:r>
        <w:t>¿Los niños lograron vincular las matemáticas a su contexto cotidiano?</w:t>
      </w:r>
    </w:p>
    <w:p>
      <w:pPr>
        <w:pStyle w:val="ListBullet"/>
      </w:pPr>
      <w:r>
        <w:t>¿Qué representaciones (concreta, gráfica, simbólica) fueron más desafiantes?</w:t>
      </w:r>
    </w:p>
    <w:p>
      <w:pPr>
        <w:pStyle w:val="ListBullet"/>
      </w:pPr>
      <w:r>
        <w:t>Evidencias: Fotografías de actividades, grabaciones de explicaciones infantiles.</w:t>
      </w:r>
    </w:p>
    <w:p>
      <w:pPr>
        <w:jc w:val="center"/>
      </w:pPr>
      <w:r>
        <w:t>――――――――――――――――――――――――――――――――――――――――――――――――――</w:t>
      </w:r>
    </w:p>
    <w:p>
      <w:pPr>
        <w:pStyle w:val="Heading3"/>
      </w:pPr>
      <w:r>
        <w:t>Anexos:</w:t>
      </w:r>
    </w:p>
    <w:p>
      <w:pPr>
        <w:pStyle w:val="ListBullet"/>
      </w:pPr>
      <w:r>
        <w:t>Ejemplo de rúbrica para evaluar registros semióticos.</w:t>
      </w:r>
    </w:p>
    <w:p>
      <w:pPr>
        <w:pStyle w:val="ListBullet"/>
      </w:pPr>
      <w:r>
        <w:t>Plantilla de diario pedagógico para docentes en formación.</w:t>
      </w:r>
    </w:p>
    <w:p>
      <w:r>
        <w:rPr>
          <w:b/>
        </w:rPr>
        <w:t xml:space="preserve">Nota: </w:t>
      </w:r>
      <w:r>
        <w:t xml:space="preserve">Esta secuencia es </w:t>
      </w:r>
      <w:r>
        <w:rPr>
          <w:b/>
        </w:rPr>
        <w:t>flexible</w:t>
      </w:r>
      <w:r>
        <w:t xml:space="preserve"> y puede ajustarse según las necesidades específicas identificadas en la caracterización (ej: si hay dificultades en geometría, reemplazar el mercado por un taller de figuras con arcilla).</w:t>
      </w:r>
    </w:p>
    <w:p>
      <w:pPr>
        <w:jc w:val="center"/>
      </w:pPr>
      <w:r>
        <w:t>――――――――――――――――――――――――――――――――――――――――――――――――――</w:t>
      </w:r>
    </w:p>
    <w:p>
      <w:pPr>
        <w:pStyle w:val="Heading3"/>
      </w:pPr>
      <w:r>
        <w:t>Fundamentación teórica:</w:t>
      </w:r>
    </w:p>
    <w:p>
      <w:pPr>
        <w:pStyle w:val="ListBullet"/>
      </w:pPr>
      <w:r>
        <w:t>ABJ: Piaget (etapa operacional concreta).</w:t>
      </w:r>
    </w:p>
    <w:p>
      <w:pPr>
        <w:pStyle w:val="ListBullet"/>
      </w:pPr>
      <w:r>
        <w:t>Duval: Teoría de registros semióticos.</w:t>
      </w:r>
    </w:p>
    <w:p>
      <w:pPr>
        <w:pStyle w:val="ListBullet"/>
      </w:pPr>
      <w:r>
        <w:t>Sociocultural: Vygotsky (mediación cultural).</w:t>
      </w:r>
    </w:p>
    <w:p>
      <w:r>
        <w:t xml:space="preserve">Este diseño asegura coherencia entre diagnóstico, enfoques pedagógicos y acción didáctica, priorizando la </w:t>
      </w:r>
      <w:r>
        <w:rPr>
          <w:b/>
        </w:rPr>
        <w:t>contextualización rural</w:t>
      </w:r>
      <w:r>
        <w:t xml:space="preserve"> y el </w:t>
      </w:r>
      <w:r>
        <w:rPr>
          <w:b/>
        </w:rPr>
        <w:t>desarrollo progresivo del pensamiento matemático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