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hd w:val="clear" w:fill="auto"/>
        <w:spacing w:lineRule="auto" w:line="276" w:before="0" w:after="0"/>
        <w:ind w:hanging="0" w:left="0" w:right="0"/>
        <w:jc w:val="left"/>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tbl>
      <w:tblPr>
        <w:tblStyle w:val="Table1"/>
        <w:tblW w:w="10485" w:type="dxa"/>
        <w:jc w:val="left"/>
        <w:tblInd w:w="0" w:type="dxa"/>
        <w:tblLayout w:type="fixed"/>
        <w:tblCellMar>
          <w:top w:w="0" w:type="dxa"/>
          <w:left w:w="108" w:type="dxa"/>
          <w:bottom w:w="0" w:type="dxa"/>
          <w:right w:w="108" w:type="dxa"/>
        </w:tblCellMar>
        <w:tblLook w:val="0000"/>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1"/>
              <w:jc w:val="center"/>
              <w:rPr>
                <w:position w:val="0"/>
                <w:sz w:val="20"/>
                <w:sz w:val="20"/>
                <w:szCs w:val="20"/>
                <w:vertAlign w:val="baseline"/>
              </w:rPr>
            </w:pPr>
            <w:r>
              <w:rPr/>
              <w:drawing>
                <wp:inline distT="0" distB="0" distL="0" distR="0">
                  <wp:extent cx="525780" cy="685800"/>
                  <wp:effectExtent l="0" t="0" r="0" b="0"/>
                  <wp:docPr id="1" name="image1.jpg"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escripción: Descripción: escudo u de a"/>
                          <pic:cNvPicPr>
                            <a:picLocks noChangeAspect="1" noChangeArrowheads="1"/>
                          </pic:cNvPicPr>
                        </pic:nvPicPr>
                        <pic:blipFill>
                          <a:blip r:embed="rId2"/>
                          <a:stretch>
                            <a:fillRect/>
                          </a:stretch>
                        </pic:blipFill>
                        <pic:spPr bwMode="auto">
                          <a:xfrm>
                            <a:off x="0" y="0"/>
                            <a:ext cx="52578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b w:val="false"/>
                <w:position w:val="0"/>
                <w:sz w:val="28"/>
                <w:sz w:val="28"/>
                <w:szCs w:val="28"/>
                <w:vertAlign w:val="baseline"/>
              </w:rPr>
            </w:pPr>
            <w:r>
              <w:rPr>
                <w:b/>
                <w:position w:val="0"/>
                <w:sz w:val="28"/>
                <w:sz w:val="28"/>
                <w:szCs w:val="28"/>
                <w:vertAlign w:val="baseline"/>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vAlign w:val="center"/>
          </w:tcPr>
          <w:p>
            <w:pPr>
              <w:pStyle w:val="Normal1"/>
              <w:keepNext w:val="false"/>
              <w:keepLines w:val="false"/>
              <w:widowControl w:val="false"/>
              <w:pBdr/>
              <w:shd w:val="clear" w:fill="auto"/>
              <w:spacing w:lineRule="auto" w:line="276" w:before="0" w:after="0"/>
              <w:ind w:hanging="0" w:left="0" w:right="0"/>
              <w:jc w:val="left"/>
              <w:rPr>
                <w:b w:val="false"/>
                <w:position w:val="0"/>
                <w:sz w:val="28"/>
                <w:sz w:val="28"/>
                <w:szCs w:val="28"/>
                <w:vertAlign w:val="baseline"/>
              </w:rPr>
            </w:pPr>
            <w:r>
              <w:rPr>
                <w:b w:val="false"/>
                <w:position w:val="0"/>
                <w:sz w:val="28"/>
                <w:sz w:val="28"/>
                <w:szCs w:val="28"/>
                <w:vertAlign w:val="baseline"/>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1"/>
              <w:jc w:val="center"/>
              <w:rPr>
                <w:b w:val="false"/>
                <w:position w:val="0"/>
                <w:sz w:val="24"/>
                <w:vertAlign w:val="baseline"/>
              </w:rPr>
            </w:pPr>
            <w:r>
              <w:rPr>
                <w:b/>
                <w:position w:val="0"/>
                <w:sz w:val="24"/>
                <w:vertAlign w:val="baseline"/>
              </w:rPr>
              <w:t xml:space="preserve">UNIVERSIDAD DE ANTIOQUIA </w:t>
            </w:r>
          </w:p>
        </w:tc>
      </w:tr>
    </w:tbl>
    <w:p>
      <w:pPr>
        <w:pStyle w:val="Normal1"/>
        <w:jc w:val="both"/>
        <w:rPr>
          <w:rFonts w:ascii="Calibri" w:hAnsi="Calibri" w:eastAsia="Calibri" w:cs="Calibri"/>
          <w:position w:val="0"/>
          <w:sz w:val="10"/>
          <w:sz w:val="10"/>
          <w:szCs w:val="10"/>
          <w:vertAlign w:val="baseline"/>
        </w:rPr>
      </w:pPr>
      <w:r>
        <w:rPr>
          <w:rFonts w:eastAsia="Calibri" w:cs="Calibri" w:ascii="Calibri" w:hAnsi="Calibri"/>
          <w:position w:val="0"/>
          <w:sz w:val="10"/>
          <w:sz w:val="10"/>
          <w:szCs w:val="10"/>
          <w:vertAlign w:val="baseline"/>
        </w:rPr>
      </w:r>
    </w:p>
    <w:p>
      <w:pPr>
        <w:pStyle w:val="Normal1"/>
        <w:jc w:val="both"/>
        <w:rPr>
          <w:rFonts w:ascii="Calibri" w:hAnsi="Calibri" w:eastAsia="Calibri" w:cs="Calibri"/>
          <w:position w:val="0"/>
          <w:sz w:val="10"/>
          <w:sz w:val="10"/>
          <w:szCs w:val="10"/>
          <w:vertAlign w:val="baseline"/>
        </w:rPr>
      </w:pPr>
      <w:r>
        <w:rPr>
          <w:rFonts w:eastAsia="Calibri" w:cs="Calibri" w:ascii="Calibri" w:hAnsi="Calibri"/>
          <w:position w:val="0"/>
          <w:sz w:val="10"/>
          <w:sz w:val="10"/>
          <w:szCs w:val="10"/>
          <w:vertAlign w:val="baseline"/>
        </w:rPr>
      </w:r>
    </w:p>
    <w:tbl>
      <w:tblPr>
        <w:tblStyle w:val="Table2"/>
        <w:tblW w:w="10495" w:type="dxa"/>
        <w:jc w:val="left"/>
        <w:tblInd w:w="-10" w:type="dxa"/>
        <w:tblLayout w:type="fixed"/>
        <w:tblCellMar>
          <w:top w:w="0" w:type="dxa"/>
          <w:left w:w="108" w:type="dxa"/>
          <w:bottom w:w="0" w:type="dxa"/>
          <w:right w:w="108" w:type="dxa"/>
        </w:tblCellMar>
        <w:tblLook w:val="0000"/>
      </w:tblPr>
      <w:tblGrid>
        <w:gridCol w:w="1422"/>
        <w:gridCol w:w="142"/>
        <w:gridCol w:w="992"/>
        <w:gridCol w:w="2411"/>
        <w:gridCol w:w="282"/>
        <w:gridCol w:w="113"/>
        <w:gridCol w:w="123"/>
        <w:gridCol w:w="332"/>
        <w:gridCol w:w="1133"/>
        <w:gridCol w:w="567"/>
        <w:gridCol w:w="823"/>
        <w:gridCol w:w="737"/>
        <w:gridCol w:w="1417"/>
      </w:tblGrid>
      <w:tr>
        <w:trPr>
          <w:trHeight w:val="340" w:hRule="atLeast"/>
        </w:trPr>
        <w:tc>
          <w:tcPr>
            <w:tcW w:w="10494" w:type="dxa"/>
            <w:gridSpan w:val="13"/>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pBd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INFORMACIÓN GENERAL </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Unidad Académica:</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position w:val="0"/>
                <w:sz w:val="22"/>
                <w:sz w:val="22"/>
                <w:szCs w:val="22"/>
                <w:vertAlign w:val="baseline"/>
              </w:rPr>
              <w:t>Facultad de Educación</w:t>
            </w:r>
          </w:p>
        </w:tc>
      </w:tr>
      <w:tr>
        <w:trPr>
          <w:trHeight w:val="510" w:hRule="atLeast"/>
        </w:trPr>
        <w:tc>
          <w:tcPr>
            <w:tcW w:w="5362" w:type="dxa"/>
            <w:gridSpan w:val="6"/>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Programas académicos a los cuales se ofrece el curso:</w:t>
            </w:r>
          </w:p>
        </w:tc>
        <w:tc>
          <w:tcPr>
            <w:tcW w:w="5132" w:type="dxa"/>
            <w:gridSpan w:val="7"/>
            <w:tcBorders>
              <w:top w:val="single" w:sz="4" w:space="0" w:color="7F7F7F"/>
              <w:bottom w:val="single" w:sz="4" w:space="0" w:color="7F7F7F"/>
              <w:right w:val="single" w:sz="4" w:space="0" w:color="7F7F7F"/>
            </w:tcBorders>
            <w:vAlign w:val="center"/>
          </w:tcPr>
          <w:p>
            <w:pPr>
              <w:pStyle w:val="Normal1"/>
              <w:rPr>
                <w:rFonts w:ascii="Calibri" w:hAnsi="Calibri" w:eastAsia="Calibri" w:cs="Calibri"/>
                <w:color w:val="222222"/>
                <w:position w:val="0"/>
                <w:sz w:val="22"/>
                <w:sz w:val="22"/>
                <w:szCs w:val="22"/>
                <w:vertAlign w:val="baseline"/>
              </w:rPr>
            </w:pPr>
            <w:r>
              <w:rPr>
                <w:rFonts w:eastAsia="Calibri" w:cs="Calibri" w:ascii="Calibri" w:hAnsi="Calibri"/>
                <w:color w:val="222222"/>
                <w:position w:val="0"/>
                <w:sz w:val="22"/>
                <w:sz w:val="22"/>
                <w:szCs w:val="22"/>
                <w:vertAlign w:val="baseline"/>
              </w:rPr>
              <w:t>Licenciatura en matemáticas</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Licenciatura en educación básica con énfasis en matemáticas</w:t>
            </w:r>
          </w:p>
          <w:p>
            <w:pPr>
              <w:pStyle w:val="Normal1"/>
              <w:rPr>
                <w:rFonts w:ascii="Calibri" w:hAnsi="Calibri" w:eastAsia="Calibri" w:cs="Calibri"/>
                <w:color w:val="222222"/>
                <w:position w:val="0"/>
                <w:sz w:val="22"/>
                <w:sz w:val="22"/>
                <w:szCs w:val="22"/>
                <w:vertAlign w:val="baseline"/>
              </w:rPr>
            </w:pPr>
            <w:r>
              <w:rPr>
                <w:rFonts w:eastAsia="Calibri" w:cs="Calibri" w:ascii="Calibri" w:hAnsi="Calibri"/>
                <w:position w:val="0"/>
                <w:sz w:val="22"/>
                <w:sz w:val="22"/>
                <w:szCs w:val="22"/>
                <w:vertAlign w:val="baseline"/>
              </w:rPr>
              <w:t>Licenciatura en física</w:t>
            </w:r>
          </w:p>
        </w:tc>
      </w:tr>
      <w:tr>
        <w:trPr>
          <w:trHeight w:val="510" w:hRule="atLeast"/>
        </w:trPr>
        <w:tc>
          <w:tcPr>
            <w:tcW w:w="1422" w:type="dxa"/>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Vigencia:</w:t>
            </w:r>
          </w:p>
        </w:tc>
        <w:tc>
          <w:tcPr>
            <w:tcW w:w="4395" w:type="dxa"/>
            <w:gridSpan w:val="7"/>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t>202</w:t>
            </w:r>
            <w:r>
              <w:rPr>
                <w:rFonts w:eastAsia="Calibri" w:cs="Calibri" w:ascii="Calibri" w:hAnsi="Calibri"/>
                <w:position w:val="0"/>
                <w:sz w:val="24"/>
                <w:vertAlign w:val="baseline"/>
              </w:rPr>
              <w:t>3</w:t>
            </w:r>
            <w:r>
              <w:rPr>
                <w:rFonts w:eastAsia="Calibri" w:cs="Calibri" w:ascii="Calibri" w:hAnsi="Calibri"/>
                <w:position w:val="0"/>
                <w:sz w:val="24"/>
                <w:vertAlign w:val="baseline"/>
              </w:rPr>
              <w:t>-</w:t>
            </w:r>
            <w:r>
              <w:rPr>
                <w:rFonts w:eastAsia="Calibri" w:cs="Calibri" w:ascii="Calibri" w:hAnsi="Calibri"/>
                <w:position w:val="0"/>
                <w:sz w:val="24"/>
                <w:vertAlign w:val="baseline"/>
              </w:rPr>
              <w:t>2, 2024-1</w:t>
            </w:r>
          </w:p>
        </w:tc>
        <w:tc>
          <w:tcPr>
            <w:tcW w:w="1700" w:type="dxa"/>
            <w:gridSpan w:val="2"/>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Código curso: </w:t>
            </w:r>
          </w:p>
        </w:tc>
        <w:tc>
          <w:tcPr>
            <w:tcW w:w="2977" w:type="dxa"/>
            <w:gridSpan w:val="3"/>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color w:val="222222"/>
                <w:position w:val="0"/>
                <w:sz w:val="24"/>
                <w:vertAlign w:val="baseline"/>
              </w:rPr>
              <w:t>2096232</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 del curso:</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color w:val="222222"/>
                <w:position w:val="0"/>
                <w:sz w:val="22"/>
                <w:sz w:val="22"/>
                <w:szCs w:val="22"/>
                <w:vertAlign w:val="baseline"/>
              </w:rPr>
              <w:t>Seminario didáctica de la aritmética</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b/>
                <w:position w:val="0"/>
                <w:sz w:val="22"/>
                <w:sz w:val="22"/>
                <w:szCs w:val="22"/>
                <w:vertAlign w:val="baseline"/>
              </w:rPr>
              <w:t xml:space="preserve">Área o componente de formación del currículo (pregrado):  </w:t>
            </w:r>
            <w:r>
              <w:rPr>
                <w:rFonts w:eastAsia="Calibri" w:cs="Calibri" w:ascii="Calibri" w:hAnsi="Calibri"/>
                <w:position w:val="0"/>
                <w:sz w:val="22"/>
                <w:sz w:val="22"/>
                <w:szCs w:val="22"/>
                <w:vertAlign w:val="baseline"/>
              </w:rPr>
              <w:t xml:space="preserve">Didáctica y Práctica </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Área o componente de formación del currículo (posgrado):  </w:t>
            </w:r>
            <w:r>
              <w:rPr>
                <w:rFonts w:eastAsia="Calibri" w:cs="Calibri" w:ascii="Calibri" w:hAnsi="Calibri"/>
                <w:color w:val="808080"/>
                <w:position w:val="0"/>
                <w:sz w:val="22"/>
                <w:sz w:val="22"/>
                <w:szCs w:val="22"/>
                <w:vertAlign w:val="baseline"/>
              </w:rPr>
              <w:t>Elija un elemento</w:t>
            </w:r>
            <w:r>
              <w:rPr>
                <w:color w:val="808080"/>
                <w:position w:val="0"/>
                <w:sz w:val="24"/>
                <w:vertAlign w:val="baseline"/>
              </w:rPr>
              <w:t>.</w:t>
            </w:r>
          </w:p>
        </w:tc>
      </w:tr>
      <w:tr>
        <w:trPr>
          <w:trHeight w:val="510" w:hRule="atLeast"/>
        </w:trPr>
        <w:tc>
          <w:tcPr>
            <w:tcW w:w="1564" w:type="dxa"/>
            <w:gridSpan w:val="2"/>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Tipo de curso:</w:t>
            </w:r>
          </w:p>
        </w:tc>
        <w:tc>
          <w:tcPr>
            <w:tcW w:w="3685" w:type="dxa"/>
            <w:gridSpan w:val="3"/>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Teórico - práctico</w:t>
            </w:r>
          </w:p>
        </w:tc>
        <w:tc>
          <w:tcPr>
            <w:tcW w:w="3091" w:type="dxa"/>
            <w:gridSpan w:val="6"/>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Créditos académicos</w:t>
            </w:r>
            <w:r>
              <w:rPr>
                <w:rStyle w:val="FootnoteReference"/>
                <w:rFonts w:eastAsia="Calibri" w:cs="Calibri" w:ascii="Calibri" w:hAnsi="Calibri"/>
                <w:b/>
                <w:sz w:val="22"/>
                <w:szCs w:val="22"/>
                <w:vertAlign w:val="superscript"/>
              </w:rPr>
              <w:footnoteReference w:id="2"/>
            </w:r>
            <w:r>
              <w:rPr>
                <w:rFonts w:eastAsia="Calibri" w:cs="Calibri" w:ascii="Calibri" w:hAnsi="Calibri"/>
                <w:b/>
                <w:position w:val="0"/>
                <w:sz w:val="22"/>
                <w:sz w:val="22"/>
                <w:szCs w:val="22"/>
                <w:vertAlign w:val="baseline"/>
              </w:rPr>
              <w:t>:</w:t>
            </w:r>
          </w:p>
        </w:tc>
        <w:tc>
          <w:tcPr>
            <w:tcW w:w="2154" w:type="dxa"/>
            <w:gridSpan w:val="2"/>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4"/>
                <w:vertAlign w:val="baseline"/>
              </w:rPr>
              <w:t>3</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Características del curso:</w:t>
            </w:r>
            <w:r>
              <w:rPr>
                <w:rFonts w:eastAsia="Calibri" w:cs="Calibri" w:ascii="Calibri" w:hAnsi="Calibri"/>
                <w:position w:val="0"/>
                <w:sz w:val="22"/>
                <w:sz w:val="22"/>
                <w:szCs w:val="22"/>
                <w:vertAlign w:val="baseline"/>
              </w:rPr>
              <w:t xml:space="preserve">      Validable </w:t>
            </w:r>
            <w:sdt>
              <w:sdtPr>
                <w:tag w:val="goog_rdk_0"/>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Habilitable </w:t>
            </w:r>
            <w:sdt>
              <w:sdtPr>
                <w:tag w:val="goog_rdk_1"/>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Clasificable </w:t>
            </w:r>
            <w:sdt>
              <w:sdtPr>
                <w:tag w:val="goog_rdk_2"/>
              </w:sdtPr>
              <w:sdtContent>
                <w:r>
                  <w:rPr>
                    <w:rFonts w:eastAsia="Calibri" w:cs="Calibri" w:ascii="Calibri" w:hAnsi="Calibri"/>
                    <w:position w:val="0"/>
                    <w:sz w:val="22"/>
                    <w:sz w:val="22"/>
                    <w:szCs w:val="22"/>
                    <w:vertAlign w:val="baseline"/>
                  </w:rPr>
                </w:r>
                <w:r>
                  <w:rPr>
                    <w:rFonts w:eastAsia="Arial Unicode MS" w:cs="Arial Unicode MS" w:ascii="Arial Unicode MS" w:hAnsi="Arial Unicode MS"/>
                    <w:position w:val="0"/>
                    <w:sz w:val="22"/>
                    <w:sz w:val="22"/>
                    <w:szCs w:val="22"/>
                    <w:vertAlign w:val="baseline"/>
                  </w:rPr>
                  <w:t>☐</w:t>
                </w:r>
              </w:sdtContent>
            </w:sdt>
            <w:r>
              <w:rPr>
                <w:rFonts w:eastAsia="Calibri" w:cs="Calibri" w:ascii="Calibri" w:hAnsi="Calibri"/>
                <w:position w:val="0"/>
                <w:sz w:val="22"/>
                <w:sz w:val="22"/>
                <w:szCs w:val="22"/>
                <w:vertAlign w:val="baseline"/>
              </w:rPr>
              <w:t xml:space="preserve">           Evaluación de suficiencia</w:t>
            </w:r>
            <w:r>
              <w:rPr>
                <w:rFonts w:eastAsia="Calibri" w:cs="Calibri" w:ascii="Calibri" w:hAnsi="Calibri"/>
                <w:smallCaps/>
                <w:position w:val="0"/>
                <w:sz w:val="22"/>
                <w:sz w:val="22"/>
                <w:szCs w:val="22"/>
                <w:vertAlign w:val="baseline"/>
              </w:rPr>
              <w:t xml:space="preserve"> </w:t>
            </w:r>
            <w:sdt>
              <w:sdtPr>
                <w:tag w:val="goog_rdk_3"/>
              </w:sdtPr>
              <w:sdtContent>
                <w:r>
                  <w:rPr>
                    <w:rFonts w:eastAsia="Calibri" w:cs="Calibri" w:ascii="Calibri" w:hAnsi="Calibri"/>
                    <w:smallCaps/>
                    <w:position w:val="0"/>
                    <w:sz w:val="22"/>
                    <w:sz w:val="22"/>
                    <w:szCs w:val="22"/>
                    <w:vertAlign w:val="baseline"/>
                  </w:rPr>
                </w:r>
                <w:r>
                  <w:rPr>
                    <w:rFonts w:eastAsia="Arial Unicode MS" w:cs="Arial Unicode MS" w:ascii="Arial Unicode MS" w:hAnsi="Arial Unicode MS"/>
                    <w:smallCaps/>
                    <w:position w:val="0"/>
                    <w:sz w:val="22"/>
                    <w:sz w:val="22"/>
                    <w:szCs w:val="22"/>
                    <w:vertAlign w:val="baseline"/>
                  </w:rPr>
                  <w:t>☐</w:t>
                </w:r>
              </w:sdtContent>
            </w:sdt>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Modalidad del curso:    </w:t>
            </w:r>
            <w:r>
              <w:rPr>
                <w:rFonts w:eastAsia="Calibri" w:cs="Calibri" w:ascii="Calibri" w:hAnsi="Calibri"/>
                <w:position w:val="0"/>
                <w:sz w:val="22"/>
                <w:sz w:val="22"/>
                <w:szCs w:val="22"/>
                <w:vertAlign w:val="baseline"/>
              </w:rPr>
              <w:t>Presencial</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Pre-requisitos:</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position w:val="0"/>
                <w:sz w:val="22"/>
                <w:sz w:val="22"/>
                <w:szCs w:val="22"/>
                <w:vertAlign w:val="baseline"/>
              </w:rPr>
              <w:t>Fundamentos de aritmética: cantidades y magnitudes. Código 2096132</w:t>
            </w:r>
          </w:p>
        </w:tc>
      </w:tr>
      <w:tr>
        <w:trPr>
          <w:trHeight w:val="510" w:hRule="atLeast"/>
        </w:trPr>
        <w:tc>
          <w:tcPr>
            <w:tcW w:w="2556" w:type="dxa"/>
            <w:gridSpan w:val="3"/>
            <w:tcBorders>
              <w:top w:val="single" w:sz="4" w:space="0" w:color="7F7F7F"/>
              <w:left w:val="single" w:sz="4" w:space="0" w:color="7F7F7F"/>
              <w:bottom w:val="single" w:sz="4" w:space="0" w:color="7F7F7F"/>
            </w:tcBorders>
            <w:vAlign w:val="center"/>
          </w:tcPr>
          <w:p>
            <w:pPr>
              <w:pStyle w:val="Normal1"/>
              <w:keepNext w:val="false"/>
              <w:keepLines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Co-requisitos</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w:t>
            </w:r>
          </w:p>
        </w:tc>
        <w:tc>
          <w:tcPr>
            <w:tcW w:w="7938" w:type="dxa"/>
            <w:gridSpan w:val="10"/>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color w:val="808080"/>
                <w:position w:val="0"/>
                <w:sz w:val="22"/>
                <w:sz w:val="22"/>
                <w:szCs w:val="22"/>
                <w:vertAlign w:val="baseline"/>
              </w:rPr>
              <w:t>Co-requisitos con nombre y código MARES.</w:t>
            </w:r>
          </w:p>
        </w:tc>
      </w:tr>
      <w:tr>
        <w:trPr>
          <w:trHeight w:val="510" w:hRule="atLeast"/>
        </w:trPr>
        <w:tc>
          <w:tcPr>
            <w:tcW w:w="5249" w:type="dxa"/>
            <w:gridSpan w:val="5"/>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docencia directa:</w:t>
            </w:r>
            <w:r>
              <w:rPr>
                <w:rFonts w:eastAsia="Calibri" w:cs="Calibri" w:ascii="Calibri" w:hAnsi="Calibri"/>
                <w:position w:val="0"/>
                <w:sz w:val="24"/>
                <w:vertAlign w:val="baseline"/>
              </w:rPr>
              <w:t xml:space="preserve"> </w:t>
            </w:r>
            <w:r>
              <w:rPr>
                <w:rFonts w:eastAsia="Calibri" w:cs="Calibri" w:ascii="Calibri" w:hAnsi="Calibri"/>
              </w:rPr>
              <w:t>5</w:t>
            </w:r>
          </w:p>
        </w:tc>
        <w:tc>
          <w:tcPr>
            <w:tcW w:w="236" w:type="dxa"/>
            <w:gridSpan w:val="2"/>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tc>
        <w:tc>
          <w:tcPr>
            <w:tcW w:w="3592" w:type="dxa"/>
            <w:gridSpan w:val="5"/>
            <w:tcBorders>
              <w:top w:val="single" w:sz="4" w:space="0" w:color="7F7F7F"/>
              <w:left w:val="single" w:sz="4" w:space="0" w:color="7F7F7F"/>
              <w:bottom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de trabajo independiente :</w:t>
            </w:r>
          </w:p>
        </w:tc>
        <w:tc>
          <w:tcPr>
            <w:tcW w:w="1417" w:type="dxa"/>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rPr>
              <w:t>4</w:t>
            </w:r>
          </w:p>
        </w:tc>
      </w:tr>
      <w:tr>
        <w:trPr>
          <w:trHeight w:val="510" w:hRule="atLeast"/>
        </w:trPr>
        <w:tc>
          <w:tcPr>
            <w:tcW w:w="10494" w:type="dxa"/>
            <w:gridSpan w:val="13"/>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Horas totales del curso:</w:t>
            </w:r>
            <w:r>
              <w:rPr>
                <w:rFonts w:eastAsia="Calibri" w:cs="Calibri" w:ascii="Calibri" w:hAnsi="Calibri"/>
                <w:position w:val="0"/>
                <w:sz w:val="24"/>
                <w:vertAlign w:val="baseline"/>
              </w:rPr>
              <w:t xml:space="preserve"> </w:t>
            </w:r>
            <w:r>
              <w:rPr>
                <w:rFonts w:eastAsia="Calibri" w:cs="Calibri" w:ascii="Calibri" w:hAnsi="Calibri"/>
              </w:rPr>
              <w:t>9</w:t>
            </w:r>
          </w:p>
        </w:tc>
      </w:tr>
      <w:tr>
        <w:trPr>
          <w:trHeight w:val="510" w:hRule="atLeast"/>
        </w:trPr>
        <w:tc>
          <w:tcPr>
            <w:tcW w:w="4967" w:type="dxa"/>
            <w:gridSpan w:val="4"/>
            <w:tcBorders>
              <w:top w:val="single" w:sz="4" w:space="0" w:color="7F7F7F"/>
              <w:left w:val="single" w:sz="4" w:space="0" w:color="7F7F7F"/>
              <w:bottom w:val="single" w:sz="4" w:space="0" w:color="7F7F7F"/>
              <w:right w:val="single" w:sz="4" w:space="0" w:color="7F7F7F"/>
            </w:tcBorders>
            <w:vAlign w:val="center"/>
          </w:tcPr>
          <w:p>
            <w:pPr>
              <w:pStyle w:val="Normal1"/>
              <w:ind w:hanging="0" w:left="-108"/>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Profesor(a) que elaboró:</w:t>
            </w:r>
          </w:p>
          <w:p>
            <w:pPr>
              <w:pStyle w:val="Normal1"/>
              <w:ind w:hanging="0" w:left="-108"/>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Sara María Velásquez López</w:t>
            </w:r>
          </w:p>
        </w:tc>
        <w:tc>
          <w:tcPr>
            <w:tcW w:w="1983" w:type="dxa"/>
            <w:gridSpan w:val="5"/>
            <w:tcBorders>
              <w:top w:val="single" w:sz="4" w:space="0" w:color="7F7F7F"/>
              <w:left w:val="single" w:sz="4" w:space="0" w:color="7F7F7F"/>
              <w:bottom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Correo electrónico: </w:t>
            </w:r>
          </w:p>
        </w:tc>
        <w:tc>
          <w:tcPr>
            <w:tcW w:w="3544" w:type="dxa"/>
            <w:gridSpan w:val="4"/>
            <w:tcBorders>
              <w:top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smvelasq@gmail.com</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3"/>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pBd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INFORMACIÓN ESPECÍFICA</w:t>
            </w:r>
          </w:p>
        </w:tc>
      </w:tr>
      <w:tr>
        <w:trPr>
          <w:trHeight w:val="244" w:hRule="atLeast"/>
        </w:trPr>
        <w:tc>
          <w:tcPr>
            <w:tcW w:w="10495" w:type="dxa"/>
            <w:tcBorders>
              <w:top w:val="single" w:sz="4" w:space="0" w:color="7F7F7F"/>
              <w:left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b/>
                <w:position w:val="0"/>
                <w:sz w:val="22"/>
                <w:sz w:val="22"/>
                <w:szCs w:val="22"/>
                <w:vertAlign w:val="baseline"/>
              </w:rPr>
              <w:t>Descripción general y justificación del curso:</w:t>
            </w:r>
          </w:p>
        </w:tc>
      </w:tr>
      <w:tr>
        <w:trPr>
          <w:trHeight w:val="788" w:hRule="atLeast"/>
        </w:trPr>
        <w:tc>
          <w:tcPr>
            <w:tcW w:w="10495" w:type="dxa"/>
            <w:tcBorders>
              <w:left w:val="single" w:sz="4" w:space="0" w:color="7F7F7F"/>
              <w:bottom w:val="single" w:sz="4" w:space="0" w:color="7F7F7F"/>
              <w:right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Este seminario es el primero del proceso de formación en didácticas específicas. Se orienta al estudio y reflexión de elementos teóricos y prácticos que posibilitan el diálogo entre los fundamentos de la aritmética y el saber pedagógico en contextos particulares. Su pertinencia se fundamenta en la necesidad que tienen los maestros en formación de tejer significados en los procesos de enseñanza y de aprendizaje de las matemáticas en contextos numéricos. Este seminario brinda a los futuros licenciados herramientas conceptuales y metodológicas para el diseño y aplicación de situaciones relacionadas con la aritmética desde un punto de vista escolar. </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En coherencia con los propósitos de formación trazados en este espacio se hace un recorrido didáctico y reflexivo desde un punto de vista escolar de aspectos como la construcción del número en el niño, el esquema aditivo, el esquema multiplicativo, las cantidades relativas y absolutas (significados de los números enteros), los números racionales, razones y proporciones. </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color w:val="808080"/>
                <w:position w:val="0"/>
                <w:sz w:val="22"/>
                <w:sz w:val="22"/>
                <w:szCs w:val="22"/>
                <w:vertAlign w:val="baseline"/>
              </w:rPr>
            </w:pPr>
            <w:r>
              <w:rPr>
                <w:rFonts w:eastAsia="Calibri" w:cs="Calibri" w:ascii="Calibri" w:hAnsi="Calibri"/>
                <w:position w:val="0"/>
                <w:sz w:val="22"/>
                <w:sz w:val="22"/>
                <w:szCs w:val="22"/>
                <w:vertAlign w:val="baseline"/>
              </w:rPr>
              <w:t>El seminario destaca la importancia del análisis y la construcción de situaciones de aula, con una perspectiva reflexiva, que vincule actividades de aprendizaje en contextos numéricos y que fortalezcan en los futuros maestros, la toma de decisiones frente a las herramientas metodológicas para la planeación, ejecución y sistematización de actividades didácticas orientadas en contextos escolares específicos.</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227" w:hRule="atLeast"/>
        </w:trPr>
        <w:tc>
          <w:tcPr>
            <w:tcW w:w="10495" w:type="dxa"/>
            <w:tcBorders>
              <w:top w:val="single" w:sz="4" w:space="0" w:color="7F7F7F"/>
              <w:left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Objetivo general:   </w:t>
            </w:r>
          </w:p>
          <w:p>
            <w:pPr>
              <w:pStyle w:val="Normal1"/>
              <w:jc w:val="both"/>
              <w:rPr>
                <w:position w:val="0"/>
                <w:sz w:val="22"/>
                <w:sz w:val="22"/>
                <w:szCs w:val="22"/>
                <w:vertAlign w:val="baseline"/>
              </w:rPr>
            </w:pPr>
            <w:r>
              <w:rPr>
                <w:rFonts w:eastAsia="Calibri" w:cs="Calibri" w:ascii="Calibri" w:hAnsi="Calibri"/>
                <w:position w:val="0"/>
                <w:sz w:val="22"/>
                <w:sz w:val="22"/>
                <w:szCs w:val="22"/>
                <w:vertAlign w:val="baseline"/>
              </w:rPr>
              <w:t>Desarrollar elementos teóricos y prácticos, que fundamenten rutas metodológicas de orden pedagógico y didáctico, relacionadas con procesos de enseñanza y aprendizaje de la aritmética en contextos escolares</w:t>
            </w:r>
            <w:r>
              <w:rPr>
                <w:position w:val="0"/>
                <w:sz w:val="22"/>
                <w:sz w:val="22"/>
                <w:szCs w:val="22"/>
                <w:vertAlign w:val="baseline"/>
              </w:rPr>
              <w:t>.</w:t>
            </w:r>
          </w:p>
        </w:tc>
      </w:tr>
      <w:tr>
        <w:trPr>
          <w:trHeight w:val="227"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Objetivos específicos:</w:t>
            </w:r>
          </w:p>
          <w:p>
            <w:pPr>
              <w:pStyle w:val="Normal1"/>
              <w:keepNext w:val="false"/>
              <w:keepLines w:val="false"/>
              <w:widowControl/>
              <w:numPr>
                <w:ilvl w:val="0"/>
                <w:numId w:val="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Caracterizar conceptualmente los fundamentos teóricos para el desarrollo del pensamiento numérico desde un punto de vista escolar.</w:t>
            </w:r>
          </w:p>
          <w:p>
            <w:pPr>
              <w:pStyle w:val="Normal1"/>
              <w:keepNext w:val="false"/>
              <w:keepLines w:val="false"/>
              <w:widowControl/>
              <w:numPr>
                <w:ilvl w:val="0"/>
                <w:numId w:val="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Revisar elementos conceptuales y metodológicos para la construcción del concepto de número y procesos de conteo.</w:t>
            </w:r>
          </w:p>
          <w:p>
            <w:pPr>
              <w:pStyle w:val="Normal1"/>
              <w:keepNext w:val="false"/>
              <w:keepLines w:val="false"/>
              <w:widowControl/>
              <w:numPr>
                <w:ilvl w:val="0"/>
                <w:numId w:val="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diferentes tipos de problemas que contribuyen a la conceptualización del esquema aditivo y multiplicativo.</w:t>
            </w:r>
          </w:p>
          <w:p>
            <w:pPr>
              <w:pStyle w:val="Normal1"/>
              <w:keepNext w:val="false"/>
              <w:keepLines w:val="false"/>
              <w:widowControl/>
              <w:numPr>
                <w:ilvl w:val="0"/>
                <w:numId w:val="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Dotar de significado las cantidades negativas y positivas de tal manera que ayuden a la comprensión de reglas procedimentales al resolver situaciones asociadas a los números enteros.</w:t>
            </w:r>
          </w:p>
          <w:p>
            <w:pPr>
              <w:pStyle w:val="Normal1"/>
              <w:keepNext w:val="false"/>
              <w:keepLines w:val="false"/>
              <w:widowControl/>
              <w:numPr>
                <w:ilvl w:val="0"/>
                <w:numId w:val="3"/>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Analizar propuestas pedagógicas relacionadas con la enseñanza y aprendizaje de los números racionales desde un punto de vista escolar.</w:t>
            </w:r>
          </w:p>
          <w:p>
            <w:pPr>
              <w:pStyle w:val="Normal1"/>
              <w:keepNext w:val="false"/>
              <w:keepLines w:val="false"/>
              <w:widowControl/>
              <w:numPr>
                <w:ilvl w:val="0"/>
                <w:numId w:val="3"/>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Generar procesos de reflexión desde el diseño e implementación de estrategias didácticas que vinculan actividades de enseñanza y aprendizaje para un contexto escolar específico.</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4"/>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b w:val="false"/>
                <w:position w:val="0"/>
                <w:sz w:val="24"/>
                <w:vertAlign w:val="baseline"/>
              </w:rPr>
            </w:pPr>
            <w:r>
              <w:rPr>
                <w:rFonts w:eastAsia="Calibri" w:cs="Calibri" w:ascii="Calibri" w:hAnsi="Calibri"/>
                <w:b/>
                <w:position w:val="0"/>
                <w:sz w:val="24"/>
                <w:vertAlign w:val="baseline"/>
              </w:rPr>
              <w:t>Contenido:</w:t>
            </w:r>
          </w:p>
        </w:tc>
      </w:tr>
      <w:tr>
        <w:trPr>
          <w:trHeight w:val="1990" w:hRule="atLeast"/>
        </w:trPr>
        <w:tc>
          <w:tcPr>
            <w:tcW w:w="10495" w:type="dxa"/>
            <w:tcBorders>
              <w:left w:val="single" w:sz="4" w:space="0" w:color="7F7F7F"/>
              <w:bottom w:val="single" w:sz="4" w:space="0" w:color="7F7F7F"/>
              <w:right w:val="single" w:sz="4" w:space="0" w:color="7F7F7F"/>
            </w:tcBorders>
          </w:tcPr>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Eje Problémico 1</w:t>
            </w:r>
            <w:r>
              <w:rPr>
                <w:rFonts w:eastAsia="Calibri" w:cs="Calibri" w:ascii="Calibri" w:hAnsi="Calibri"/>
                <w:position w:val="0"/>
                <w:sz w:val="22"/>
                <w:sz w:val="22"/>
                <w:szCs w:val="22"/>
                <w:vertAlign w:val="baseline"/>
              </w:rPr>
              <w:t>.  Fundamentos teóricos sobre el desarrollo del pensamiento numérico en el contexto colombiano</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 ¿Cuáles son los fundamentos del desarrollo de habilidades numéricas en el currículo de las matemáticas escolares en Colombia?</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se caracteriza el pensamiento numérico en la escuela desde las propuestas curriculares del Ministerio de Educación Nacional?</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No. de sesiones: 2 sesiones </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pBd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Pensamiento numérico desde los documentos rectores emanados por el Ministerio de Educación Nacional (Lineamientos curriculares, estándares básicos de competencias, Derechos básicos de aprendizaje)</w:t>
            </w:r>
          </w:p>
          <w:p>
            <w:pPr>
              <w:pStyle w:val="Normal1"/>
              <w:keepNext w:val="false"/>
              <w:keepLines w:val="false"/>
              <w:widowControl/>
              <w:numPr>
                <w:ilvl w:val="0"/>
                <w:numId w:val="2"/>
              </w:numPr>
              <w:pBd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Reflexiones frente al aprendizaje del pensamiento numérico</w:t>
            </w:r>
          </w:p>
          <w:p>
            <w:pPr>
              <w:pStyle w:val="Normal1"/>
              <w:keepNext w:val="false"/>
              <w:keepLines w:val="false"/>
              <w:widowControl/>
              <w:numPr>
                <w:ilvl w:val="0"/>
                <w:numId w:val="2"/>
              </w:numPr>
              <w:pBd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La enseñanza del pensamiento numérico en la educación obligatoria</w:t>
            </w:r>
          </w:p>
          <w:p>
            <w:pPr>
              <w:pStyle w:val="Normal1"/>
              <w:jc w:val="both"/>
              <w:rPr>
                <w:rFonts w:ascii="Calibri" w:hAnsi="Calibri" w:eastAsia="Calibri" w:cs="Calibri"/>
                <w:position w:val="0"/>
                <w:sz w:val="24"/>
                <w:vertAlign w:val="baseline"/>
              </w:rPr>
            </w:pPr>
            <w:r>
              <w:rPr>
                <w:rFonts w:eastAsia="Calibri" w:cs="Calibri" w:ascii="Calibri" w:hAnsi="Calibri"/>
                <w:position w:val="0"/>
                <w:sz w:val="24"/>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2. </w:t>
            </w:r>
            <w:r>
              <w:rPr>
                <w:rFonts w:eastAsia="Calibri" w:cs="Calibri" w:ascii="Calibri" w:hAnsi="Calibri"/>
                <w:position w:val="0"/>
                <w:sz w:val="22"/>
                <w:sz w:val="22"/>
                <w:szCs w:val="22"/>
                <w:vertAlign w:val="baseline"/>
              </w:rPr>
              <w:t>Concepto de número y procesos de conteo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 ¿Cómo influyen diferentes enfoques epistemológicos en la construcción del concepto de número?</w:t>
            </w:r>
          </w:p>
          <w:p>
            <w:pPr>
              <w:pStyle w:val="Normal1"/>
              <w:keepNext w:val="false"/>
              <w:keepLines w:val="false"/>
              <w:widowControl/>
              <w:pBdr/>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pBd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Construcción histórica del concepto de número</w:t>
            </w:r>
          </w:p>
          <w:p>
            <w:pPr>
              <w:pStyle w:val="Normal1"/>
              <w:keepNext w:val="false"/>
              <w:keepLines w:val="false"/>
              <w:widowControl/>
              <w:numPr>
                <w:ilvl w:val="0"/>
                <w:numId w:val="2"/>
              </w:numPr>
              <w:pBd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Procesos de conteo y manejo del ábaco</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3. </w:t>
            </w:r>
            <w:r>
              <w:rPr>
                <w:rFonts w:eastAsia="Calibri" w:cs="Calibri" w:ascii="Calibri" w:hAnsi="Calibri"/>
                <w:position w:val="0"/>
                <w:sz w:val="22"/>
                <w:sz w:val="22"/>
                <w:szCs w:val="22"/>
                <w:vertAlign w:val="baseline"/>
              </w:rPr>
              <w:t>Aspectos conceptuales y metodológicos para desarrollar el esquema aditivo y esquema multiplicativo en la escuela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aditivo?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las relaciones fundamentales presentes en el desarrollo de esquema multiplicativo?</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4 sesiones.</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numPr>
                <w:ilvl w:val="0"/>
                <w:numId w:val="2"/>
              </w:numPr>
              <w:pBd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didácticas para desarrollar el esquema aditivo y multiplicativo.</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4.  </w:t>
            </w:r>
            <w:r>
              <w:rPr>
                <w:rFonts w:eastAsia="Calibri" w:cs="Calibri" w:ascii="Calibri" w:hAnsi="Calibri"/>
                <w:position w:val="0"/>
                <w:sz w:val="22"/>
                <w:sz w:val="22"/>
                <w:szCs w:val="22"/>
                <w:vertAlign w:val="baseline"/>
              </w:rPr>
              <w:t xml:space="preserve">Los números enteros </w:t>
            </w:r>
          </w:p>
          <w:p>
            <w:pPr>
              <w:pStyle w:val="Normal1"/>
              <w:keepNext w:val="false"/>
              <w:keepLines w:val="false"/>
              <w:widowControl w:val="false"/>
              <w:pBdr/>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¿Cuáles son los elementos básicos desde un punto de vista conceptual que pueden orientar significados de los enteros desde situaciones escolares?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keepNext w:val="false"/>
              <w:keepLines w:val="false"/>
              <w:widowControl/>
              <w:numPr>
                <w:ilvl w:val="0"/>
                <w:numId w:val="2"/>
              </w:numPr>
              <w:pBd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Significados de los números enteros y estrategias de enseñanza en el aula.</w:t>
            </w:r>
          </w:p>
          <w:p>
            <w:pPr>
              <w:pStyle w:val="Normal1"/>
              <w:keepNext w:val="false"/>
              <w:keepLines w:val="false"/>
              <w:widowControl/>
              <w:pBdr/>
              <w:shd w:val="clear" w:fill="auto"/>
              <w:spacing w:lineRule="auto" w:line="240" w:before="0" w:after="0"/>
              <w:ind w:hanging="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 xml:space="preserve">Eje Problémico 5.  </w:t>
            </w:r>
            <w:r>
              <w:rPr>
                <w:rFonts w:eastAsia="Calibri" w:cs="Calibri" w:ascii="Calibri" w:hAnsi="Calibri"/>
                <w:position w:val="0"/>
                <w:sz w:val="22"/>
                <w:sz w:val="22"/>
                <w:szCs w:val="22"/>
                <w:vertAlign w:val="baseline"/>
              </w:rPr>
              <w:t>Números racionales, razones y proporciones</w:t>
            </w:r>
          </w:p>
          <w:p>
            <w:pPr>
              <w:pStyle w:val="Normal1"/>
              <w:keepNext w:val="false"/>
              <w:keepLines w:val="false"/>
              <w:widowControl w:val="false"/>
              <w:pBdr/>
              <w:shd w:val="clear" w:fill="auto"/>
              <w:spacing w:lineRule="auto" w:line="240" w:before="0" w:after="0"/>
              <w:ind w:hanging="0" w:left="708"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Preguntas orientadoras: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¿Qué conexión tienen los contextos de medida con las relaciones y procedimientos asociados a la resolución de problemas en contextos de los números racionales?</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pasar del esquema multiplicativo a la solución de situaciones que desarrollen razonamiento proporcional?</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keepNext w:val="false"/>
              <w:keepLines w:val="false"/>
              <w:widowControl/>
              <w:numPr>
                <w:ilvl w:val="0"/>
                <w:numId w:val="2"/>
              </w:numPr>
              <w:pBd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Conceptualización del número racional.</w:t>
            </w:r>
          </w:p>
          <w:p>
            <w:pPr>
              <w:pStyle w:val="Normal1"/>
              <w:keepNext w:val="false"/>
              <w:keepLines w:val="false"/>
              <w:widowControl/>
              <w:numPr>
                <w:ilvl w:val="0"/>
                <w:numId w:val="2"/>
              </w:numPr>
              <w:pBd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Estrategias para la enseñanza en el aula de las diferentes representaciones del conjunto numérico: fracción, porcentaje, decimal y gráfico.</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Eje Problémico 6.  </w:t>
            </w:r>
            <w:r>
              <w:rPr>
                <w:rFonts w:eastAsia="Calibri" w:cs="Calibri" w:ascii="Calibri" w:hAnsi="Calibri"/>
                <w:position w:val="0"/>
                <w:sz w:val="22"/>
                <w:sz w:val="22"/>
                <w:szCs w:val="22"/>
                <w:vertAlign w:val="baseline"/>
              </w:rPr>
              <w:t>Análisis y reflexión a partir del diseño e implementación de actividades de aprendizaje</w:t>
            </w:r>
          </w:p>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Pregunta orientadora: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¿Cómo articular elementos pedagógicos y didácticos en el diseño de situaciones de aprendizaje en torno al pensamiento numérico escolar?</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No. de sesiones</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2 sesiones.</w:t>
            </w:r>
          </w:p>
          <w:p>
            <w:pPr>
              <w:pStyle w:val="Normal1"/>
              <w:jc w:val="both"/>
              <w:rPr>
                <w:rFonts w:ascii="Calibri" w:hAnsi="Calibri" w:eastAsia="Calibri" w:cs="Calibri"/>
                <w:position w:val="0"/>
                <w:sz w:val="24"/>
                <w:vertAlign w:val="baseline"/>
              </w:rPr>
            </w:pPr>
            <w:r>
              <w:rPr>
                <w:rFonts w:eastAsia="Calibri" w:cs="Calibri" w:ascii="Calibri" w:hAnsi="Calibri"/>
                <w:position w:val="0"/>
                <w:sz w:val="24"/>
                <w:vertAlign w:val="baseline"/>
              </w:rPr>
            </w:r>
          </w:p>
          <w:p>
            <w:pPr>
              <w:pStyle w:val="Normal1"/>
              <w:keepNext w:val="false"/>
              <w:keepLines w:val="false"/>
              <w:widowControl/>
              <w:numPr>
                <w:ilvl w:val="0"/>
                <w:numId w:val="5"/>
              </w:numPr>
              <w:pBdr/>
              <w:shd w:val="clear" w:fill="auto"/>
              <w:spacing w:lineRule="auto" w:line="240" w:before="0" w:after="0"/>
              <w:ind w:hanging="360" w:left="36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Diseño, implementación y reflexión de una práctica relacionada con el pensamiento numérico en la escuela</w:t>
            </w:r>
          </w:p>
          <w:p>
            <w:pPr>
              <w:pStyle w:val="Normal1"/>
              <w:jc w:val="both"/>
              <w:rPr>
                <w:rFonts w:ascii="Calibri" w:hAnsi="Calibri" w:eastAsia="Calibri" w:cs="Calibri"/>
                <w:position w:val="0"/>
                <w:sz w:val="24"/>
                <w:vertAlign w:val="baseline"/>
              </w:rPr>
            </w:pPr>
            <w:r>
              <w:rPr>
                <w:rFonts w:eastAsia="Calibri" w:cs="Calibri" w:ascii="Calibri" w:hAnsi="Calibri"/>
                <w:position w:val="0"/>
                <w:sz w:val="24"/>
                <w:vertAlign w:val="baseline"/>
              </w:rPr>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5"/>
        <w:tblW w:w="10495" w:type="dxa"/>
        <w:jc w:val="left"/>
        <w:tblInd w:w="-10" w:type="dxa"/>
        <w:tblLayout w:type="fixed"/>
        <w:tblCellMar>
          <w:top w:w="0" w:type="dxa"/>
          <w:left w:w="108" w:type="dxa"/>
          <w:bottom w:w="0" w:type="dxa"/>
          <w:right w:w="108" w:type="dxa"/>
        </w:tblCellMar>
        <w:tblLook w:val="0000"/>
      </w:tblPr>
      <w:tblGrid>
        <w:gridCol w:w="10495"/>
      </w:tblGrid>
      <w:tr>
        <w:trPr>
          <w:trHeight w:val="340" w:hRule="atLeast"/>
        </w:trPr>
        <w:tc>
          <w:tcPr>
            <w:tcW w:w="10495"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pBd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METODOLOGÍA </w:t>
            </w:r>
          </w:p>
        </w:tc>
      </w:tr>
      <w:tr>
        <w:trPr>
          <w:trHeight w:val="1990" w:hRule="atLeast"/>
        </w:trPr>
        <w:tc>
          <w:tcPr>
            <w:tcW w:w="10495" w:type="dxa"/>
            <w:tcBorders>
              <w:left w:val="single" w:sz="4" w:space="0" w:color="7F7F7F"/>
              <w:bottom w:val="single" w:sz="4" w:space="0" w:color="7F7F7F"/>
              <w:right w:val="single" w:sz="4" w:space="0" w:color="7F7F7F"/>
            </w:tcBorders>
          </w:tcPr>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En este espacio de formación es fundamental la participación activa de todos los estudiantes, de tal manera que las reflexiones sean elaboradas de manera colectiva. También es importante el trabajo colaborativo para producir saber pedagógico en actividades como: debates, discusiones a partir de textos, paneles de discusión, presentaciones, socializaciones de actividades didácticas, plenarias, entre otras.</w:t>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La concreción de las preguntas problematizadoras de los ejes se van consolidando desde diferentes estrategias para el análisis y discusión de los documentos que consolidan la bibliografía básica preparada para tal fin. Entre ellas está: la elaboración de reseñas, resúmenes, mapas conceptuales, etc. Es decir, para cada sesión, hay un trabajo de preparación de los materiales por parte de los estudiantes con base en alguna de las estrategias mencionadas. El material referenciado como complementario será el insumo para el trabajo académico autónomo de los estudiantes, este y su discusión en las asesorías debe fortalecer la comprensión de los elementos teóricos puestos en discusión en las clases. </w:t>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 desarrollo del seminario también considera entre sus estrategias la exposición de textos y actividades de aula. Además, la realización de memorias, reflexiones y ensayos sobre las discusiones conceptuales realizadas, en cada sesión, a partir de los análisis y síntesis de los documentos trabajados previamente.</w:t>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jc w:val="both"/>
              <w:rPr>
                <w:rFonts w:ascii="Calibri" w:hAnsi="Calibri" w:eastAsia="Calibri" w:cs="Calibri"/>
                <w:position w:val="0"/>
                <w:sz w:val="24"/>
                <w:vertAlign w:val="baseline"/>
              </w:rPr>
            </w:pPr>
            <w:r>
              <w:rPr>
                <w:rFonts w:eastAsia="Calibri" w:cs="Calibri" w:ascii="Calibri" w:hAnsi="Calibri"/>
                <w:position w:val="0"/>
                <w:sz w:val="22"/>
                <w:sz w:val="22"/>
                <w:szCs w:val="22"/>
                <w:vertAlign w:val="baseline"/>
              </w:rPr>
              <w:t>Finalmente, los estudiantes, diseñan una actividad didáctica, para un contexto particular. Una vez la implementen, proceden a sistematizar la experiencia, donde sea evidente un ejercicio de reflexión en relación al proceso de enseñanza y aprendizaje asociado a la aritmética escolar.</w:t>
            </w:r>
          </w:p>
        </w:tc>
      </w:tr>
    </w:tbl>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tbl>
      <w:tblPr>
        <w:tblStyle w:val="Table6"/>
        <w:tblW w:w="10495" w:type="dxa"/>
        <w:jc w:val="left"/>
        <w:tblInd w:w="-10" w:type="dxa"/>
        <w:tblLayout w:type="fixed"/>
        <w:tblCellMar>
          <w:top w:w="0" w:type="dxa"/>
          <w:left w:w="108" w:type="dxa"/>
          <w:bottom w:w="0" w:type="dxa"/>
          <w:right w:w="108" w:type="dxa"/>
        </w:tblCellMar>
        <w:tblLook w:val="0000"/>
      </w:tblPr>
      <w:tblGrid>
        <w:gridCol w:w="6100"/>
        <w:gridCol w:w="1417"/>
        <w:gridCol w:w="2978"/>
      </w:tblGrid>
      <w:tr>
        <w:trPr>
          <w:trHeight w:val="340" w:hRule="atLeast"/>
        </w:trPr>
        <w:tc>
          <w:tcPr>
            <w:tcW w:w="10495" w:type="dxa"/>
            <w:gridSpan w:val="3"/>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pBd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EVALUACIÓN</w:t>
            </w:r>
          </w:p>
        </w:tc>
      </w:tr>
      <w:tr>
        <w:trPr>
          <w:trHeight w:val="850" w:hRule="atLeast"/>
        </w:trPr>
        <w:tc>
          <w:tcPr>
            <w:tcW w:w="10495" w:type="dxa"/>
            <w:gridSpan w:val="3"/>
            <w:tcBorders>
              <w:left w:val="single" w:sz="4" w:space="0" w:color="7F7F7F"/>
              <w:bottom w:val="single" w:sz="4" w:space="0" w:color="7F7F7F"/>
              <w:right w:val="single" w:sz="4" w:space="0" w:color="7F7F7F"/>
            </w:tcBorders>
            <w:vAlign w:val="center"/>
          </w:tcPr>
          <w:p>
            <w:pPr>
              <w:pStyle w:val="Normal1"/>
              <w:jc w:val="both"/>
              <w:rPr>
                <w:rFonts w:ascii="Calibri" w:hAnsi="Calibri" w:eastAsia="Calibri" w:cs="Calibri"/>
                <w:position w:val="0"/>
                <w:sz w:val="24"/>
                <w:vertAlign w:val="baseline"/>
              </w:rPr>
            </w:pPr>
            <w:r>
              <w:rPr>
                <w:rFonts w:eastAsia="Calibri" w:cs="Calibri" w:ascii="Calibri" w:hAnsi="Calibri"/>
                <w:position w:val="0"/>
                <w:sz w:val="22"/>
                <w:sz w:val="22"/>
                <w:szCs w:val="22"/>
                <w:vertAlign w:val="baseline"/>
              </w:rPr>
              <w:t>Atendiendo a los lineamientos de la ruta metodológica del seminario y a los propósitos de formación de éste, la calificación final está configurada por la evaluación y valoración de los siguientes aspectos:</w:t>
            </w:r>
          </w:p>
        </w:tc>
      </w:tr>
      <w:tr>
        <w:trPr>
          <w:trHeight w:val="244" w:hRule="atLeast"/>
        </w:trPr>
        <w:tc>
          <w:tcPr>
            <w:tcW w:w="6100"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Actividad de evaluación</w:t>
            </w:r>
          </w:p>
        </w:tc>
        <w:tc>
          <w:tcPr>
            <w:tcW w:w="1417"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Porcentaje</w:t>
            </w:r>
          </w:p>
        </w:tc>
        <w:tc>
          <w:tcPr>
            <w:tcW w:w="2978" w:type="dxa"/>
            <w:tcBorders>
              <w:top w:val="single" w:sz="4" w:space="0" w:color="7F7F7F"/>
              <w:left w:val="single" w:sz="4" w:space="0" w:color="7F7F7F"/>
              <w:bottom w:val="single" w:sz="4" w:space="0" w:color="7F7F7F"/>
              <w:right w:val="single" w:sz="4" w:space="0" w:color="7F7F7F"/>
            </w:tcBorders>
            <w:shd w:fill="BFBFBF" w:val="clear"/>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 xml:space="preserve">Fecha </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vAlign w:val="center"/>
          </w:tcPr>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position w:val="0"/>
                <w:sz w:val="22"/>
                <w:sz w:val="22"/>
                <w:szCs w:val="22"/>
                <w:vertAlign w:val="baseline"/>
              </w:rPr>
              <w:t xml:space="preserve">Seguimiento 1: </w:t>
            </w:r>
          </w:p>
          <w:p>
            <w:pPr>
              <w:pStyle w:val="Normal1"/>
              <w:keepNext w:val="false"/>
              <w:keepLines w:val="false"/>
              <w:widowControl/>
              <w:numPr>
                <w:ilvl w:val="0"/>
                <w:numId w:val="4"/>
              </w:numPr>
              <w:pBd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Asistencia y participación en las puestas en común.</w:t>
            </w:r>
          </w:p>
          <w:p>
            <w:pPr>
              <w:pStyle w:val="Normal1"/>
              <w:keepNext w:val="false"/>
              <w:keepLines w:val="false"/>
              <w:widowControl/>
              <w:numPr>
                <w:ilvl w:val="0"/>
                <w:numId w:val="4"/>
              </w:numPr>
              <w:pBd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Exposiciones.</w:t>
            </w:r>
          </w:p>
          <w:p>
            <w:pPr>
              <w:pStyle w:val="Normal1"/>
              <w:keepNext w:val="false"/>
              <w:keepLines w:val="false"/>
              <w:widowControl/>
              <w:numPr>
                <w:ilvl w:val="0"/>
                <w:numId w:val="4"/>
              </w:numPr>
              <w:pBd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Presentación de informes de lectura o relatorías.</w:t>
            </w:r>
          </w:p>
          <w:p>
            <w:pPr>
              <w:pStyle w:val="Normal1"/>
              <w:keepNext w:val="false"/>
              <w:keepLines w:val="false"/>
              <w:widowControl/>
              <w:numPr>
                <w:ilvl w:val="0"/>
                <w:numId w:val="4"/>
              </w:numPr>
              <w:pBd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Elaboración de actividades o talleres.</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vertAlign w:val="baseline"/>
              </w:rPr>
            </w:pPr>
            <w:r>
              <w:rPr>
                <w:rFonts w:eastAsia="Calibri" w:cs="Calibri" w:ascii="Calibri" w:hAnsi="Calibri"/>
                <w:position w:val="0"/>
                <w:sz w:val="24"/>
                <w:vertAlign w:val="baseline"/>
              </w:rPr>
              <w:t>40</w:t>
            </w:r>
          </w:p>
        </w:tc>
        <w:tc>
          <w:tcPr>
            <w:tcW w:w="2978"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2"/>
                <w:sz w:val="22"/>
                <w:szCs w:val="22"/>
                <w:vertAlign w:val="baseline"/>
              </w:rPr>
              <w:t>Semana 1 a la 6</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vAlign w:val="center"/>
          </w:tcPr>
          <w:p>
            <w:pPr>
              <w:pStyle w:val="Normal1"/>
              <w:jc w:val="both"/>
              <w:rPr>
                <w:rFonts w:ascii="Calibri" w:hAnsi="Calibri" w:eastAsia="Calibri" w:cs="Calibri"/>
                <w:b w:val="false"/>
                <w:position w:val="0"/>
                <w:sz w:val="22"/>
                <w:sz w:val="22"/>
                <w:szCs w:val="22"/>
                <w:vertAlign w:val="baseline"/>
              </w:rPr>
            </w:pPr>
            <w:r>
              <w:rPr>
                <w:rFonts w:eastAsia="Calibri" w:cs="Calibri" w:ascii="Calibri" w:hAnsi="Calibri"/>
                <w:position w:val="0"/>
                <w:sz w:val="22"/>
                <w:sz w:val="22"/>
                <w:szCs w:val="22"/>
                <w:vertAlign w:val="baseline"/>
              </w:rPr>
              <w:t>Seguimiento 2</w:t>
            </w:r>
          </w:p>
          <w:p>
            <w:pPr>
              <w:pStyle w:val="Normal1"/>
              <w:keepNext w:val="false"/>
              <w:keepLines w:val="false"/>
              <w:widowControl/>
              <w:numPr>
                <w:ilvl w:val="0"/>
                <w:numId w:val="4"/>
              </w:numPr>
              <w:pBd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Asistencia y participación en las puestas en común.</w:t>
            </w:r>
          </w:p>
          <w:p>
            <w:pPr>
              <w:pStyle w:val="Normal1"/>
              <w:keepNext w:val="false"/>
              <w:keepLines w:val="false"/>
              <w:widowControl/>
              <w:numPr>
                <w:ilvl w:val="0"/>
                <w:numId w:val="4"/>
              </w:numPr>
              <w:pBd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Exposiciones.</w:t>
            </w:r>
          </w:p>
          <w:p>
            <w:pPr>
              <w:pStyle w:val="Normal1"/>
              <w:keepNext w:val="false"/>
              <w:keepLines w:val="false"/>
              <w:widowControl/>
              <w:numPr>
                <w:ilvl w:val="0"/>
                <w:numId w:val="4"/>
              </w:numPr>
              <w:pBd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Presentación de informes de lectura o relatorías.</w:t>
            </w:r>
          </w:p>
          <w:p>
            <w:pPr>
              <w:pStyle w:val="Normal1"/>
              <w:keepNext w:val="false"/>
              <w:keepLines w:val="false"/>
              <w:widowControl/>
              <w:numPr>
                <w:ilvl w:val="0"/>
                <w:numId w:val="4"/>
              </w:numPr>
              <w:pBdr/>
              <w:shd w:val="clear" w:fill="auto"/>
              <w:spacing w:lineRule="auto" w:line="240" w:before="0" w:after="0"/>
              <w:ind w:hanging="360" w:left="851"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Elaboración de actividades o talleres.</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vertAlign w:val="baseline"/>
              </w:rPr>
            </w:pPr>
            <w:r>
              <w:rPr>
                <w:rFonts w:eastAsia="Calibri" w:cs="Calibri" w:ascii="Calibri" w:hAnsi="Calibri"/>
                <w:position w:val="0"/>
                <w:sz w:val="24"/>
                <w:vertAlign w:val="baseline"/>
              </w:rPr>
              <w:t>20</w:t>
            </w:r>
          </w:p>
        </w:tc>
        <w:tc>
          <w:tcPr>
            <w:tcW w:w="2978"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7 a la 14</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position w:val="0"/>
                <w:sz w:val="22"/>
                <w:sz w:val="22"/>
                <w:szCs w:val="22"/>
                <w:vertAlign w:val="baseline"/>
              </w:rPr>
              <w:t>Trabajo final escrito</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vertAlign w:val="baseline"/>
              </w:rPr>
            </w:pPr>
            <w:r>
              <w:rPr>
                <w:rFonts w:eastAsia="Calibri" w:cs="Calibri" w:ascii="Calibri" w:hAnsi="Calibri"/>
                <w:position w:val="0"/>
                <w:sz w:val="24"/>
                <w:vertAlign w:val="baseline"/>
              </w:rPr>
              <w:t>20</w:t>
            </w:r>
          </w:p>
        </w:tc>
        <w:tc>
          <w:tcPr>
            <w:tcW w:w="2978"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2"/>
                <w:sz w:val="22"/>
                <w:szCs w:val="22"/>
                <w:vertAlign w:val="baseline"/>
              </w:rPr>
              <w:t>Semana 15 y 16</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Sustentación del trabajo final</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vertAlign w:val="baseline"/>
              </w:rPr>
            </w:pPr>
            <w:r>
              <w:rPr>
                <w:rFonts w:eastAsia="Calibri" w:cs="Calibri" w:ascii="Calibri" w:hAnsi="Calibri"/>
                <w:position w:val="0"/>
                <w:sz w:val="24"/>
                <w:vertAlign w:val="baseline"/>
              </w:rPr>
              <w:t>10</w:t>
            </w:r>
          </w:p>
        </w:tc>
        <w:tc>
          <w:tcPr>
            <w:tcW w:w="2978"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15 y 16</w:t>
            </w:r>
          </w:p>
        </w:tc>
      </w:tr>
      <w:tr>
        <w:trPr>
          <w:trHeight w:val="397" w:hRule="atLeast"/>
        </w:trPr>
        <w:tc>
          <w:tcPr>
            <w:tcW w:w="6100"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Autoevaluación</w:t>
            </w:r>
          </w:p>
        </w:tc>
        <w:tc>
          <w:tcPr>
            <w:tcW w:w="1417"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vertAlign w:val="baseline"/>
              </w:rPr>
            </w:pPr>
            <w:r>
              <w:rPr>
                <w:rFonts w:eastAsia="Calibri" w:cs="Calibri" w:ascii="Calibri" w:hAnsi="Calibri"/>
                <w:position w:val="0"/>
                <w:sz w:val="24"/>
                <w:vertAlign w:val="baseline"/>
              </w:rPr>
              <w:t>10</w:t>
            </w:r>
          </w:p>
        </w:tc>
        <w:tc>
          <w:tcPr>
            <w:tcW w:w="2978"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color w:val="808080"/>
                <w:position w:val="0"/>
                <w:sz w:val="18"/>
                <w:sz w:val="18"/>
                <w:szCs w:val="18"/>
                <w:vertAlign w:val="baseline"/>
              </w:rPr>
            </w:pPr>
            <w:r>
              <w:rPr>
                <w:rFonts w:eastAsia="Calibri" w:cs="Calibri" w:ascii="Calibri" w:hAnsi="Calibri"/>
                <w:position w:val="0"/>
                <w:sz w:val="22"/>
                <w:sz w:val="22"/>
                <w:szCs w:val="22"/>
                <w:vertAlign w:val="baseline"/>
              </w:rPr>
              <w:t>Semana 16</w:t>
            </w:r>
          </w:p>
        </w:tc>
      </w:tr>
    </w:tbl>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p>
      <w:pPr>
        <w:pStyle w:val="Normal1"/>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bl>
      <w:tblPr>
        <w:tblStyle w:val="Table7"/>
        <w:tblW w:w="10495" w:type="dxa"/>
        <w:jc w:val="left"/>
        <w:tblInd w:w="-10" w:type="dxa"/>
        <w:tblLayout w:type="fixed"/>
        <w:tblCellMar>
          <w:top w:w="0" w:type="dxa"/>
          <w:left w:w="108" w:type="dxa"/>
          <w:bottom w:w="0" w:type="dxa"/>
          <w:right w:w="108" w:type="dxa"/>
        </w:tblCellMar>
        <w:tblLook w:val="0000"/>
      </w:tblPr>
      <w:tblGrid>
        <w:gridCol w:w="10495"/>
      </w:tblGrid>
      <w:tr>
        <w:trPr>
          <w:trHeight w:val="227" w:hRule="atLeast"/>
        </w:trPr>
        <w:tc>
          <w:tcPr>
            <w:tcW w:w="10495" w:type="dxa"/>
            <w:tcBorders>
              <w:top w:val="single" w:sz="4" w:space="0" w:color="7F7F7F"/>
              <w:left w:val="single" w:sz="4" w:space="0" w:color="7F7F7F"/>
              <w:right w:val="single" w:sz="4" w:space="0" w:color="7F7F7F"/>
            </w:tcBorders>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Actividades de asistencia obligatoria</w:t>
            </w:r>
            <w:r>
              <w:rPr>
                <w:rStyle w:val="FootnoteReference"/>
                <w:rFonts w:eastAsia="Calibri" w:cs="Calibri" w:ascii="Calibri" w:hAnsi="Calibri"/>
                <w:b/>
                <w:sz w:val="22"/>
                <w:szCs w:val="22"/>
                <w:vertAlign w:val="superscript"/>
              </w:rPr>
              <w:footnoteReference w:id="3"/>
            </w:r>
            <w:r>
              <w:rPr>
                <w:rFonts w:eastAsia="Calibri" w:cs="Calibri" w:ascii="Calibri" w:hAnsi="Calibri"/>
                <w:b/>
                <w:position w:val="0"/>
                <w:sz w:val="22"/>
                <w:sz w:val="22"/>
                <w:szCs w:val="22"/>
                <w:vertAlign w:val="baseline"/>
              </w:rPr>
              <w:t>:</w:t>
            </w:r>
          </w:p>
        </w:tc>
      </w:tr>
      <w:tr>
        <w:trPr>
          <w:trHeight w:val="851" w:hRule="atLeast"/>
        </w:trPr>
        <w:tc>
          <w:tcPr>
            <w:tcW w:w="10495" w:type="dxa"/>
            <w:tcBorders>
              <w:left w:val="single" w:sz="4" w:space="0" w:color="7F7F7F"/>
              <w:bottom w:val="single" w:sz="4" w:space="0" w:color="7F7F7F"/>
              <w:right w:val="single" w:sz="4" w:space="0" w:color="7F7F7F"/>
            </w:tcBorders>
          </w:tcPr>
          <w:p>
            <w:pPr>
              <w:pStyle w:val="Normal1"/>
              <w:jc w:val="both"/>
              <w:rPr>
                <w:rFonts w:ascii="Calibri" w:hAnsi="Calibri" w:eastAsia="Calibri" w:cs="Calibri"/>
                <w:color w:val="808080"/>
                <w:position w:val="0"/>
                <w:sz w:val="22"/>
                <w:sz w:val="22"/>
                <w:szCs w:val="22"/>
                <w:vertAlign w:val="baseline"/>
              </w:rPr>
            </w:pPr>
            <w:r>
              <w:rPr>
                <w:rFonts w:eastAsia="Calibri" w:cs="Calibri" w:ascii="Calibri" w:hAnsi="Calibri"/>
                <w:position w:val="0"/>
                <w:sz w:val="22"/>
                <w:sz w:val="22"/>
                <w:szCs w:val="22"/>
                <w:vertAlign w:val="baseline"/>
              </w:rPr>
              <w:t>El número de faltas de asistencia máxima permitida no puede superar las 12 horas, de lo contrario el curso se reportará "cancelado por faltas", lo que, para efectos del promedio crédito, equivaldrá a una calificación de cero, cero (0.0). ARTÍCULO 78. (MODIFICADO POR EL ACUERDO SUPERIOR No. 170 DE FEBRERO 3 DE 2000).</w:t>
            </w:r>
          </w:p>
        </w:tc>
      </w:tr>
    </w:tbl>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tbl>
      <w:tblPr>
        <w:tblStyle w:val="Table8"/>
        <w:tblW w:w="10495" w:type="dxa"/>
        <w:jc w:val="left"/>
        <w:tblInd w:w="-10" w:type="dxa"/>
        <w:tblLayout w:type="fixed"/>
        <w:tblCellMar>
          <w:top w:w="0" w:type="dxa"/>
          <w:left w:w="108" w:type="dxa"/>
          <w:bottom w:w="0" w:type="dxa"/>
          <w:right w:w="108" w:type="dxa"/>
        </w:tblCellMar>
        <w:tblLook w:val="0000"/>
      </w:tblPr>
      <w:tblGrid>
        <w:gridCol w:w="10210"/>
        <w:gridCol w:w="284"/>
      </w:tblGrid>
      <w:tr>
        <w:trPr>
          <w:trHeight w:val="227" w:hRule="atLeast"/>
        </w:trPr>
        <w:tc>
          <w:tcPr>
            <w:tcW w:w="10494" w:type="dxa"/>
            <w:gridSpan w:val="2"/>
            <w:tcBorders>
              <w:top w:val="single" w:sz="4" w:space="0" w:color="7F7F7F"/>
              <w:left w:val="single" w:sz="4" w:space="0" w:color="7F7F7F"/>
              <w:bottom w:val="single" w:sz="4" w:space="0" w:color="7F7F7F"/>
              <w:right w:val="single" w:sz="4" w:space="0" w:color="7F7F7F"/>
            </w:tcBorders>
            <w:shd w:fill="BFBFBF" w:val="clear"/>
            <w:vAlign w:val="center"/>
          </w:tcPr>
          <w:p>
            <w:pPr>
              <w:pStyle w:val="Normal1"/>
              <w:rPr>
                <w:rFonts w:ascii="Calibri" w:hAnsi="Calibri" w:eastAsia="Calibri" w:cs="Calibri"/>
                <w:position w:val="0"/>
                <w:sz w:val="22"/>
                <w:sz w:val="22"/>
                <w:szCs w:val="22"/>
                <w:vertAlign w:val="baseline"/>
              </w:rPr>
            </w:pPr>
            <w:r>
              <w:rPr>
                <w:rFonts w:eastAsia="Calibri" w:cs="Calibri" w:ascii="Calibri" w:hAnsi="Calibri"/>
                <w:b/>
                <w:position w:val="0"/>
                <w:sz w:val="22"/>
                <w:sz w:val="22"/>
                <w:szCs w:val="22"/>
                <w:vertAlign w:val="baseline"/>
              </w:rPr>
              <w:t>Bibliografía:</w:t>
            </w:r>
          </w:p>
        </w:tc>
      </w:tr>
      <w:tr>
        <w:trPr>
          <w:trHeight w:val="567" w:hRule="atLeast"/>
        </w:trPr>
        <w:tc>
          <w:tcPr>
            <w:tcW w:w="10210" w:type="dxa"/>
            <w:tcBorders>
              <w:top w:val="single" w:sz="4" w:space="0" w:color="7F7F7F"/>
              <w:left w:val="single" w:sz="4" w:space="0" w:color="7F7F7F"/>
              <w:bottom w:val="single" w:sz="4" w:space="0" w:color="7F7F7F"/>
            </w:tcBorders>
            <w:vAlign w:val="center"/>
          </w:tcPr>
          <w:p>
            <w:pPr>
              <w:pStyle w:val="Normal1"/>
              <w:keepNext w:val="false"/>
              <w:keepLines w:val="false"/>
              <w:widowControl/>
              <w:numPr>
                <w:ilvl w:val="0"/>
                <w:numId w:val="1"/>
              </w:numPr>
              <w:pBdr/>
              <w:shd w:val="clear" w:fill="auto"/>
              <w:tabs>
                <w:tab w:val="clear" w:pos="720"/>
                <w:tab w:val="left" w:pos="750" w:leader="none"/>
              </w:tabs>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Eje Problémico 1</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Fundamentos teóricos sobre el desarrollo del pensamiento numérico en el contexto colombiano</w:t>
            </w:r>
          </w:p>
          <w:p>
            <w:pPr>
              <w:pStyle w:val="Normal1"/>
              <w:tabs>
                <w:tab w:val="clear" w:pos="720"/>
                <w:tab w:val="left" w:pos="750" w:leader="none"/>
              </w:tabs>
              <w:jc w:val="both"/>
              <w:rPr>
                <w:rFonts w:ascii="Calibri" w:hAnsi="Calibri" w:eastAsia="Calibri" w:cs="Calibri"/>
                <w:color w:val="A6A6A6"/>
                <w:position w:val="0"/>
                <w:sz w:val="24"/>
                <w:vertAlign w:val="baseline"/>
              </w:rPr>
            </w:pPr>
            <w:r>
              <w:rPr>
                <w:rFonts w:eastAsia="Calibri" w:cs="Calibri" w:ascii="Calibri" w:hAnsi="Calibri"/>
                <w:color w:val="A6A6A6"/>
                <w:position w:val="0"/>
                <w:sz w:val="24"/>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MINISTERIO DE EDUCACIÓN NACIONAL. (1998). Serie Lineamientos Curriculares, Matemáticas, Santafé de Bogotá, 1998</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MINISTERIO DE EDUCACIÓN NACIONAL. (2006). Estándares Básicos de Competencias en lenguaje, Matemáticas, Ciencias y Ciudadanas.  Bogotá.</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tabs>
                <w:tab w:val="clear" w:pos="720"/>
                <w:tab w:val="left" w:pos="750" w:leader="none"/>
              </w:tabs>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NATIONAL COUNCIL OF TEACHERS OF MATHEMATICS. (2000). Principios y Estándares para la Educación Matemática. Edición en castellano. Sociedad Andaluza de Educación Matemática “THALES”.</w:t>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0"/>
                <w:numId w:val="6"/>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2.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Concepto de número y procesos de conteo</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BRISSIAUD, Remi. El aprendizaje del cálculo. Más allá de Piaget y de la teoría de conjuntos. Ed. aprendizaje Visor. Madrid. 1989. Pp 11 - 21.</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Orlando. Camino a la aritmética. El ábaco como herramienta. Ministerio de educación naciona. Bogotá, 1997</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CERASOLI, Ana. </w:t>
            </w:r>
            <w:r>
              <w:rPr>
                <w:rFonts w:eastAsia="Calibri" w:cs="Calibri" w:ascii="Calibri" w:hAnsi="Calibri"/>
                <w:i/>
                <w:position w:val="0"/>
                <w:sz w:val="22"/>
                <w:sz w:val="22"/>
                <w:szCs w:val="22"/>
                <w:vertAlign w:val="baseline"/>
              </w:rPr>
              <w:t xml:space="preserve">Los diez magníficos. Un niño en el mundo de las matemáticas. </w:t>
            </w:r>
            <w:r>
              <w:rPr>
                <w:rFonts w:eastAsia="Calibri" w:cs="Calibri" w:ascii="Calibri" w:hAnsi="Calibri"/>
                <w:position w:val="0"/>
                <w:sz w:val="22"/>
                <w:sz w:val="22"/>
                <w:szCs w:val="22"/>
                <w:vertAlign w:val="baseline"/>
              </w:rPr>
              <w:t>Maeva ediciones. 2ª edición. 2006</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MARTINEZ MONTERO, Jaime. Una Didáctica del Cálculo para el siglo XXI. Ed. R.G.M. SA. España, 2000. </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CHAMORRO et ál., 2003, Didáctica de las matemáticas, Madrid, Pearson Educación</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B, Orlando. Criterios y Estrategias para la Enseñanza de la Matemática, Ministerio de Educación Nacional, serie publicaciones para maestros, Impreandes, Santa fe de Bogotá, 1997.</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KAMII, Constante. </w:t>
            </w:r>
            <w:r>
              <w:rPr>
                <w:rFonts w:eastAsia="Calibri" w:cs="Calibri" w:ascii="Calibri" w:hAnsi="Calibri"/>
                <w:i/>
                <w:position w:val="0"/>
                <w:sz w:val="22"/>
                <w:sz w:val="22"/>
                <w:szCs w:val="22"/>
                <w:vertAlign w:val="baseline"/>
              </w:rPr>
              <w:t xml:space="preserve">El niño reinventa la aritmética. </w:t>
            </w:r>
            <w:r>
              <w:rPr>
                <w:rFonts w:eastAsia="Calibri" w:cs="Calibri" w:ascii="Calibri" w:hAnsi="Calibri"/>
                <w:position w:val="0"/>
                <w:sz w:val="22"/>
                <w:sz w:val="22"/>
                <w:szCs w:val="22"/>
                <w:vertAlign w:val="baseline"/>
              </w:rPr>
              <w:t>Ed. aprendizaje Visor. Madrid. 5ta ed 2000. Pp 17- 34.</w:t>
            </w:r>
          </w:p>
          <w:p>
            <w:pPr>
              <w:pStyle w:val="Normal1"/>
              <w:widowControl w:val="false"/>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val="false"/>
              <w:numPr>
                <w:ilvl w:val="0"/>
                <w:numId w:val="6"/>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3.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Aspectos conceptuales y metodológicos para desarrollar el esquema aditivo y esquema multiplicativo en la escuela</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MARTINEZ MONTERO. (2000) Jaime. Una Didáctica del Cálculo para el siglo XXI. Ed. R.G.M. SA. España </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VERGNAUD, Gérard. (1997). El niño, las matemáticas y la realidad. Ed Trillas. México. </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RICO, Luis., Castro, Encarnación y Castro, Enrique. (1995) Estructuras Aritméticas Elementales y su Modelización. Impreso en Colombia  </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MAZA GÓMEZ</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Carlos. (1989) Sumar y Restar. El proceso de enseñanza/aprendizaje de la suma y de la resta. Visor Distribuciones. España</w:t>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6"/>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4.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Los números enteros </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Secretaría de educación para la cultura de Antioquia. (2006). Pensamiento Numérico y Sistemas Numéricos. Unidad 2: Números enteros. Artes y Letras Ltda. Medellín-Colombia. Unidad 2 del texto Pensamiento</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GONZALEZ, José Luis y otros. (1990)</w:t>
            </w:r>
            <w:r>
              <w:rPr>
                <w:rFonts w:eastAsia="Calibri" w:cs="Calibri" w:ascii="Calibri" w:hAnsi="Calibri"/>
                <w:b/>
                <w:position w:val="0"/>
                <w:sz w:val="22"/>
                <w:sz w:val="22"/>
                <w:szCs w:val="22"/>
                <w:vertAlign w:val="baseline"/>
              </w:rPr>
              <w:t xml:space="preserve">. </w:t>
            </w:r>
            <w:r>
              <w:rPr>
                <w:rFonts w:eastAsia="Calibri" w:cs="Calibri" w:ascii="Calibri" w:hAnsi="Calibri"/>
                <w:position w:val="0"/>
                <w:sz w:val="22"/>
                <w:sz w:val="22"/>
                <w:szCs w:val="22"/>
                <w:vertAlign w:val="baseline"/>
              </w:rPr>
              <w:t xml:space="preserve">Números enteros.  Editorial SÍNTESIS S.A.  Madrid.  </w:t>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numPr>
                <w:ilvl w:val="0"/>
                <w:numId w:val="6"/>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5.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Números racionales, razones y proporciones</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LLINARES, Salvador. (2006). Fracciones, decimales y razón. En Didáctica de las matemáticas. Compilación coordinada Por María del Carmen Chamorro. Gráficas Rogar S.A. España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VELÁSQUEZ, Sara. (2015). 7 Aventuras matemáticas para docentes. Medellín, Colombia: CTA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VELÁSQUEZ, Sara. (2013). 4</w:t>
            </w:r>
            <w:r>
              <w:rPr>
                <w:rFonts w:eastAsia="Calibri" w:cs="Calibri" w:ascii="Calibri" w:hAnsi="Calibri"/>
                <w:sz w:val="22"/>
                <w:szCs w:val="22"/>
                <w:vertAlign w:val="superscript"/>
              </w:rPr>
              <w:t>2</w:t>
            </w:r>
            <w:r>
              <w:rPr>
                <w:rFonts w:eastAsia="Calibri" w:cs="Calibri" w:ascii="Calibri" w:hAnsi="Calibri"/>
                <w:position w:val="0"/>
                <w:sz w:val="22"/>
                <w:sz w:val="22"/>
                <w:szCs w:val="22"/>
                <w:vertAlign w:val="baseline"/>
              </w:rPr>
              <w:t xml:space="preserve"> Aventuras matemáticas para docentes. Medellín, Colombia: CTA.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position w:val="0"/>
                <w:sz w:val="22"/>
                <w:sz w:val="22"/>
                <w:szCs w:val="22"/>
                <w:vertAlign w:val="baseline"/>
              </w:rPr>
            </w:pPr>
            <w:r>
              <w:rPr>
                <w:rFonts w:eastAsia="Calibri" w:cs="Calibri" w:ascii="Calibri" w:hAnsi="Calibri"/>
                <w:position w:val="0"/>
                <w:sz w:val="22"/>
                <w:sz w:val="22"/>
                <w:szCs w:val="22"/>
                <w:vertAlign w:val="baseline"/>
              </w:rPr>
              <w:t>LLINARES, Salvador y SÁNCHEZ, M. Victoria.  (1997). Fracciones.  Editorial SÍNTESIS S.A.  Madrid</w:t>
            </w:r>
            <w:r>
              <w:rPr>
                <w:position w:val="0"/>
                <w:sz w:val="22"/>
                <w:sz w:val="22"/>
                <w:szCs w:val="22"/>
                <w:vertAlign w:val="baseline"/>
              </w:rPr>
              <w:t xml:space="preserve">. </w:t>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Secretaría de educación para la cultura de Antioquia. (2006). Pensamiento Numérico y Sistemas Numéricos. Artes y Letras Ltda. Medellín-Colombia. </w:t>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numPr>
                <w:ilvl w:val="0"/>
                <w:numId w:val="6"/>
              </w:numPr>
              <w:pBdr/>
              <w:shd w:val="clear" w:fill="auto"/>
              <w:spacing w:lineRule="auto" w:line="240" w:before="0" w:after="0"/>
              <w:ind w:hanging="360" w:left="72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 xml:space="preserve">Eje Problémico 6.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Análisis y reflexión a partir del diseño e implementación de actividades de aprendizaje</w:t>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val="false"/>
                <w:position w:val="0"/>
                <w:sz w:val="22"/>
                <w:sz w:val="22"/>
                <w:szCs w:val="22"/>
                <w:u w:val="single"/>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Básica</w:t>
            </w:r>
          </w:p>
          <w:p>
            <w:pPr>
              <w:pStyle w:val="Normal1"/>
              <w:keepNext w:val="false"/>
              <w:keepLines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OBANDO Z, Gilberto; MUNERA, John Jairo. Las situaciones problema como estrategia para la conceptualización matemática. Revista educación y pedagogía. Medellín: Universidad de Antioquia, Facultad de Educación. Vol. XV, no. 35, (enero- abril), 2003 pp 183-200.</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tabs>
                <w:tab w:val="clear" w:pos="720"/>
                <w:tab w:val="left" w:pos="750" w:leader="none"/>
              </w:tabs>
              <w:jc w:val="both"/>
              <w:rPr>
                <w:rFonts w:ascii="Calibri" w:hAnsi="Calibri" w:eastAsia="Calibri" w:cs="Calibri"/>
                <w:b w:val="false"/>
                <w:position w:val="0"/>
                <w:sz w:val="22"/>
                <w:sz w:val="22"/>
                <w:szCs w:val="22"/>
                <w:u w:val="single"/>
                <w:vertAlign w:val="baseline"/>
              </w:rPr>
            </w:pPr>
            <w:r>
              <w:rPr>
                <w:rFonts w:eastAsia="Calibri" w:cs="Calibri" w:ascii="Calibri" w:hAnsi="Calibri"/>
                <w:b/>
                <w:position w:val="0"/>
                <w:sz w:val="22"/>
                <w:sz w:val="22"/>
                <w:szCs w:val="22"/>
                <w:u w:val="single"/>
                <w:vertAlign w:val="baseline"/>
              </w:rPr>
              <w:t>Complementaria</w:t>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LLINARES, Salvador. (2005), Relación entre teorías sobre el aprendizaje del profesor de matemáticas y diseño de entornos de aprendizaje. Recuperado el 7 de septiembre de 2009, en </w:t>
            </w:r>
            <w:hyperlink r:id="rId3">
              <w:r>
                <w:rPr>
                  <w:rFonts w:eastAsia="Calibri" w:cs="Calibri" w:ascii="Calibri" w:hAnsi="Calibri"/>
                  <w:color w:val="0000FF"/>
                  <w:position w:val="0"/>
                  <w:sz w:val="22"/>
                  <w:sz w:val="22"/>
                  <w:szCs w:val="22"/>
                  <w:u w:val="single"/>
                  <w:vertAlign w:val="baseline"/>
                </w:rPr>
                <w:t>http://rua.ua.es/dspace/bitstream/10045/854/1/llinares-cibem-05.pdf</w:t>
              </w:r>
            </w:hyperlink>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MESA, Orlando. (1997). Criterios y estrategias para la enseñanza de las matemáticas. Santafé de Bogotá: Ministerio de Educación Nacional.</w:t>
            </w:r>
          </w:p>
          <w:p>
            <w:pPr>
              <w:pStyle w:val="Normal1"/>
              <w:jc w:val="both"/>
              <w:rPr>
                <w:rFonts w:ascii="Calibri" w:hAnsi="Calibri" w:eastAsia="Calibri" w:cs="Calibri"/>
                <w:position w:val="0"/>
                <w:sz w:val="24"/>
                <w:vertAlign w:val="baseline"/>
              </w:rPr>
            </w:pPr>
            <w:r>
              <w:rPr>
                <w:rFonts w:eastAsia="Calibri" w:cs="Calibri" w:ascii="Calibri" w:hAnsi="Calibri"/>
                <w:position w:val="0"/>
                <w:sz w:val="24"/>
                <w:vertAlign w:val="baseline"/>
              </w:rPr>
            </w:r>
          </w:p>
        </w:tc>
        <w:tc>
          <w:tcPr>
            <w:tcW w:w="284" w:type="dxa"/>
            <w:tcBorders>
              <w:top w:val="single" w:sz="4" w:space="0" w:color="7F7F7F"/>
              <w:bottom w:val="single" w:sz="4" w:space="0" w:color="7F7F7F"/>
              <w:right w:val="single" w:sz="4" w:space="0" w:color="7F7F7F"/>
            </w:tcBorders>
            <w:vAlign w:val="center"/>
          </w:tcPr>
          <w:p>
            <w:pPr>
              <w:pStyle w:val="Normal1"/>
              <w:jc w:val="both"/>
              <w:rPr>
                <w:rFonts w:ascii="Calibri" w:hAnsi="Calibri" w:eastAsia="Calibri" w:cs="Calibri"/>
                <w:position w:val="0"/>
                <w:sz w:val="24"/>
                <w:vertAlign w:val="baseline"/>
              </w:rPr>
            </w:pPr>
            <w:r>
              <w:rPr>
                <w:rFonts w:eastAsia="Calibri" w:cs="Calibri" w:ascii="Calibri" w:hAnsi="Calibri"/>
                <w:position w:val="0"/>
                <w:sz w:val="24"/>
                <w:vertAlign w:val="baseline"/>
              </w:rPr>
            </w:r>
          </w:p>
        </w:tc>
      </w:tr>
    </w:tbl>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tbl>
      <w:tblPr>
        <w:tblStyle w:val="Table9"/>
        <w:tblW w:w="10490" w:type="dxa"/>
        <w:jc w:val="left"/>
        <w:tblInd w:w="-34" w:type="dxa"/>
        <w:tblLayout w:type="fixed"/>
        <w:tblCellMar>
          <w:top w:w="0" w:type="dxa"/>
          <w:left w:w="108" w:type="dxa"/>
          <w:bottom w:w="0" w:type="dxa"/>
          <w:right w:w="108" w:type="dxa"/>
        </w:tblCellMar>
        <w:tblLook w:val="0000"/>
      </w:tblPr>
      <w:tblGrid>
        <w:gridCol w:w="3260"/>
        <w:gridCol w:w="1701"/>
        <w:gridCol w:w="2410"/>
        <w:gridCol w:w="991"/>
        <w:gridCol w:w="992"/>
        <w:gridCol w:w="1135"/>
      </w:tblGrid>
      <w:tr>
        <w:trPr>
          <w:trHeight w:val="300" w:hRule="atLeast"/>
        </w:trPr>
        <w:tc>
          <w:tcPr>
            <w:tcW w:w="10489" w:type="dxa"/>
            <w:gridSpan w:val="6"/>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pBd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PROFESORES</w:t>
            </w:r>
          </w:p>
        </w:tc>
      </w:tr>
      <w:tr>
        <w:trPr>
          <w:trHeight w:val="244"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Nombres y Apellidos</w:t>
            </w:r>
          </w:p>
        </w:tc>
        <w:tc>
          <w:tcPr>
            <w:tcW w:w="1701"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Dependencia</w:t>
            </w:r>
          </w:p>
        </w:tc>
        <w:tc>
          <w:tcPr>
            <w:tcW w:w="2410"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Formación en pregrado y posgrado</w:t>
            </w:r>
          </w:p>
        </w:tc>
        <w:tc>
          <w:tcPr>
            <w:tcW w:w="991"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Eje  N°</w:t>
            </w:r>
          </w:p>
        </w:tc>
        <w:tc>
          <w:tcPr>
            <w:tcW w:w="992"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 Horas</w:t>
            </w:r>
          </w:p>
        </w:tc>
        <w:tc>
          <w:tcPr>
            <w:tcW w:w="1135"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Fechas</w:t>
            </w:r>
          </w:p>
        </w:tc>
      </w:tr>
      <w:tr>
        <w:trPr>
          <w:trHeight w:val="397" w:hRule="atLeast"/>
        </w:trPr>
        <w:tc>
          <w:tcPr>
            <w:tcW w:w="3260" w:type="dxa"/>
            <w:tcBorders>
              <w:top w:val="single" w:sz="4" w:space="0" w:color="7F7F7F"/>
              <w:left w:val="single" w:sz="4" w:space="0" w:color="7F7F7F"/>
              <w:bottom w:val="single" w:sz="4" w:space="0" w:color="7F7F7F"/>
              <w:right w:val="single" w:sz="4" w:space="0" w:color="7F7F7F"/>
            </w:tcBorders>
            <w:vAlign w:val="center"/>
          </w:tcPr>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t>Sara María Velásquez López</w:t>
            </w:r>
          </w:p>
        </w:tc>
        <w:tc>
          <w:tcPr>
            <w:tcW w:w="1701"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vertAlign w:val="baseline"/>
              </w:rPr>
            </w:pPr>
            <w:r>
              <w:rPr>
                <w:rFonts w:eastAsia="Calibri" w:cs="Calibri" w:ascii="Calibri" w:hAnsi="Calibri"/>
                <w:position w:val="0"/>
                <w:sz w:val="24"/>
                <w:vertAlign w:val="baseline"/>
              </w:rPr>
            </w:r>
          </w:p>
        </w:tc>
        <w:tc>
          <w:tcPr>
            <w:tcW w:w="2410"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4"/>
                <w:vertAlign w:val="baseline"/>
              </w:rPr>
            </w:pPr>
            <w:r>
              <w:rPr>
                <w:rFonts w:eastAsia="Calibri" w:cs="Calibri" w:ascii="Calibri" w:hAnsi="Calibri"/>
                <w:position w:val="0"/>
                <w:sz w:val="24"/>
                <w:vertAlign w:val="baseline"/>
              </w:rPr>
              <w:t>Ingeniera Industrial</w:t>
            </w:r>
          </w:p>
          <w:p>
            <w:pPr>
              <w:pStyle w:val="Normal1"/>
              <w:jc w:val="center"/>
              <w:rPr>
                <w:rFonts w:ascii="Calibri" w:hAnsi="Calibri" w:eastAsia="Calibri" w:cs="Calibri"/>
                <w:position w:val="0"/>
                <w:sz w:val="24"/>
                <w:vertAlign w:val="baseline"/>
              </w:rPr>
            </w:pPr>
            <w:r>
              <w:rPr>
                <w:rFonts w:eastAsia="Calibri" w:cs="Calibri" w:ascii="Calibri" w:hAnsi="Calibri"/>
                <w:position w:val="0"/>
                <w:sz w:val="24"/>
                <w:vertAlign w:val="baseline"/>
              </w:rPr>
              <w:t>Mg. En enseñanza de las ciencias exactas y naturales.</w:t>
            </w:r>
          </w:p>
        </w:tc>
        <w:tc>
          <w:tcPr>
            <w:tcW w:w="991"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c>
          <w:tcPr>
            <w:tcW w:w="992" w:type="dxa"/>
            <w:tcBorders>
              <w:top w:val="single" w:sz="4" w:space="0" w:color="7F7F7F"/>
              <w:left w:val="single" w:sz="4" w:space="0" w:color="7F7F7F"/>
              <w:bottom w:val="single" w:sz="4" w:space="0" w:color="7F7F7F"/>
              <w:right w:val="single" w:sz="4" w:space="0" w:color="7F7F7F"/>
            </w:tcBorders>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c>
          <w:tcPr>
            <w:tcW w:w="1135" w:type="dxa"/>
            <w:tcBorders>
              <w:top w:val="single" w:sz="4" w:space="0" w:color="7F7F7F"/>
              <w:left w:val="single" w:sz="4" w:space="0" w:color="7F7F7F"/>
              <w:bottom w:val="single" w:sz="4" w:space="0" w:color="7F7F7F"/>
              <w:right w:val="single" w:sz="4" w:space="0" w:color="7F7F7F"/>
            </w:tcBorders>
            <w:vAlign w:val="center"/>
          </w:tcPr>
          <w:p>
            <w:pPr>
              <w:pStyle w:val="Normal1"/>
              <w:jc w:val="center"/>
              <w:rPr>
                <w:rFonts w:ascii="Calibri" w:hAnsi="Calibri" w:eastAsia="Calibri" w:cs="Calibri"/>
                <w:position w:val="0"/>
                <w:sz w:val="20"/>
                <w:sz w:val="20"/>
                <w:szCs w:val="20"/>
                <w:vertAlign w:val="baseline"/>
              </w:rPr>
            </w:pPr>
            <w:r>
              <w:rPr>
                <w:rFonts w:eastAsia="Calibri" w:cs="Calibri" w:ascii="Calibri" w:hAnsi="Calibri"/>
                <w:position w:val="0"/>
                <w:sz w:val="20"/>
                <w:sz w:val="20"/>
                <w:szCs w:val="20"/>
                <w:vertAlign w:val="baseline"/>
              </w:rPr>
            </w:r>
          </w:p>
        </w:tc>
      </w:tr>
    </w:tbl>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tbl>
      <w:tblPr>
        <w:tblStyle w:val="Table10"/>
        <w:tblW w:w="10495" w:type="dxa"/>
        <w:jc w:val="left"/>
        <w:tblInd w:w="-10" w:type="dxa"/>
        <w:tblLayout w:type="fixed"/>
        <w:tblCellMar>
          <w:top w:w="0" w:type="dxa"/>
          <w:left w:w="108" w:type="dxa"/>
          <w:bottom w:w="0" w:type="dxa"/>
          <w:right w:w="108" w:type="dxa"/>
        </w:tblCellMar>
        <w:tblLook w:val="0000"/>
      </w:tblPr>
      <w:tblGrid>
        <w:gridCol w:w="288"/>
        <w:gridCol w:w="3261"/>
        <w:gridCol w:w="283"/>
        <w:gridCol w:w="3118"/>
        <w:gridCol w:w="285"/>
        <w:gridCol w:w="2975"/>
        <w:gridCol w:w="284"/>
      </w:tblGrid>
      <w:tr>
        <w:trPr>
          <w:trHeight w:val="300" w:hRule="atLeast"/>
        </w:trPr>
        <w:tc>
          <w:tcPr>
            <w:tcW w:w="10494" w:type="dxa"/>
            <w:gridSpan w:val="7"/>
            <w:tcBorders>
              <w:top w:val="single" w:sz="4" w:space="0" w:color="7F7F7F"/>
              <w:left w:val="single" w:sz="4" w:space="0" w:color="7F7F7F"/>
              <w:bottom w:val="single" w:sz="4" w:space="0" w:color="7F7F7F"/>
              <w:right w:val="single" w:sz="4" w:space="0" w:color="7F7F7F"/>
            </w:tcBorders>
            <w:shd w:fill="BFBFBF" w:val="clear"/>
            <w:vAlign w:val="center"/>
          </w:tcPr>
          <w:p>
            <w:pPr>
              <w:pStyle w:val="Normal1"/>
              <w:keepNext w:val="false"/>
              <w:keepLines w:val="false"/>
              <w:widowControl/>
              <w:numPr>
                <w:ilvl w:val="0"/>
                <w:numId w:val="7"/>
              </w:numPr>
              <w:pBdr/>
              <w:shd w:val="clear" w:fill="auto"/>
              <w:spacing w:lineRule="auto" w:line="240" w:before="0" w:after="0"/>
              <w:ind w:hanging="360" w:left="36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i w:val="false"/>
                <w:caps w:val="false"/>
                <w:smallCaps w:val="false"/>
                <w:strike w:val="false"/>
                <w:dstrike w:val="false"/>
                <w:color w:val="000000"/>
                <w:position w:val="0"/>
                <w:sz w:val="22"/>
                <w:sz w:val="22"/>
                <w:szCs w:val="22"/>
                <w:u w:val="none"/>
                <w:shd w:fill="auto" w:val="clear"/>
                <w:vertAlign w:val="baseline"/>
              </w:rPr>
              <w:t>APROBACIÓN DEL CONSEJO DE UNIDAD ACADÉMICA</w:t>
            </w:r>
          </w:p>
        </w:tc>
      </w:tr>
      <w:tr>
        <w:trPr>
          <w:trHeight w:val="244" w:hRule="atLeast"/>
        </w:trPr>
        <w:tc>
          <w:tcPr>
            <w:tcW w:w="10494" w:type="dxa"/>
            <w:gridSpan w:val="7"/>
            <w:tcBorders>
              <w:top w:val="single" w:sz="4" w:space="0" w:color="7F7F7F"/>
              <w:left w:val="single" w:sz="4" w:space="0" w:color="7F7F7F"/>
              <w:right w:val="single" w:sz="4" w:space="0" w:color="7F7F7F"/>
            </w:tcBorders>
          </w:tcPr>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t xml:space="preserve">Aprobado en Acta  </w:t>
            </w:r>
            <w:r>
              <w:rPr>
                <w:rFonts w:eastAsia="Calibri" w:cs="Calibri" w:ascii="Calibri" w:hAnsi="Calibri"/>
                <w:color w:val="808080"/>
                <w:position w:val="0"/>
                <w:sz w:val="22"/>
                <w:sz w:val="22"/>
                <w:szCs w:val="22"/>
                <w:vertAlign w:val="baseline"/>
              </w:rPr>
              <w:t>número</w:t>
            </w:r>
            <w:r>
              <w:rPr>
                <w:rFonts w:eastAsia="Calibri" w:cs="Calibri" w:ascii="Calibri" w:hAnsi="Calibri"/>
                <w:position w:val="0"/>
                <w:sz w:val="22"/>
                <w:sz w:val="22"/>
                <w:szCs w:val="22"/>
                <w:vertAlign w:val="baseline"/>
              </w:rPr>
              <w:t xml:space="preserve"> del  </w:t>
            </w:r>
            <w:r>
              <w:rPr>
                <w:rFonts w:eastAsia="Calibri" w:cs="Calibri" w:ascii="Calibri" w:hAnsi="Calibri"/>
                <w:color w:val="808080"/>
                <w:position w:val="0"/>
                <w:sz w:val="24"/>
                <w:vertAlign w:val="baseline"/>
              </w:rPr>
              <w:t>Haga clic aquí o pulse para escribir una fecha.</w:t>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p>
            <w:pPr>
              <w:pStyle w:val="Normal1"/>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764" w:hRule="atLeast"/>
        </w:trPr>
        <w:tc>
          <w:tcPr>
            <w:tcW w:w="288" w:type="dxa"/>
            <w:tcBorders>
              <w:left w:val="single" w:sz="4" w:space="0" w:color="7F7F7F"/>
            </w:tcBorders>
          </w:tcPr>
          <w:p>
            <w:pPr>
              <w:pStyle w:val="Normal1"/>
              <w:jc w:val="both"/>
              <w:rPr>
                <w:rFonts w:ascii="Calibri" w:hAnsi="Calibri" w:eastAsia="Calibri" w:cs="Calibri"/>
                <w:position w:val="0"/>
                <w:sz w:val="24"/>
                <w:vertAlign w:val="baseline"/>
              </w:rPr>
            </w:pPr>
            <w:r>
              <w:rPr>
                <w:rFonts w:eastAsia="Calibri" w:cs="Calibri" w:ascii="Calibri" w:hAnsi="Calibri"/>
                <w:position w:val="0"/>
                <w:sz w:val="24"/>
                <w:vertAlign w:val="baseline"/>
              </w:rPr>
            </w:r>
          </w:p>
        </w:tc>
        <w:tc>
          <w:tcPr>
            <w:tcW w:w="3261" w:type="dxa"/>
            <w:tcBorders>
              <w:bottom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3" w:type="dxa"/>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3118" w:type="dxa"/>
            <w:tcBorders>
              <w:bottom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5" w:type="dxa"/>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975" w:type="dxa"/>
            <w:tcBorders>
              <w:bottom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c>
          <w:tcPr>
            <w:tcW w:w="284" w:type="dxa"/>
            <w:tcBorders>
              <w:right w:val="single" w:sz="4" w:space="0" w:color="7F7F7F"/>
            </w:tcBorders>
          </w:tcPr>
          <w:p>
            <w:pPr>
              <w:pStyle w:val="Normal1"/>
              <w:jc w:val="both"/>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r>
        <w:trPr>
          <w:trHeight w:val="138" w:hRule="atLeast"/>
        </w:trPr>
        <w:tc>
          <w:tcPr>
            <w:tcW w:w="288" w:type="dxa"/>
            <w:tcBorders>
              <w:left w:val="single" w:sz="4" w:space="0" w:color="7F7F7F"/>
              <w:bottom w:val="single" w:sz="4" w:space="0" w:color="000000"/>
            </w:tcBorders>
          </w:tcPr>
          <w:p>
            <w:pPr>
              <w:pStyle w:val="Normal1"/>
              <w:rPr>
                <w:rFonts w:ascii="Calibri" w:hAnsi="Calibri" w:eastAsia="Calibri" w:cs="Calibri"/>
                <w:position w:val="0"/>
                <w:sz w:val="24"/>
                <w:vertAlign w:val="baseline"/>
              </w:rPr>
            </w:pPr>
            <w:r>
              <w:rPr>
                <w:rFonts w:eastAsia="Calibri" w:cs="Calibri" w:ascii="Calibri" w:hAnsi="Calibri"/>
                <w:position w:val="0"/>
                <w:sz w:val="24"/>
                <w:vertAlign w:val="baseline"/>
              </w:rPr>
            </w:r>
          </w:p>
        </w:tc>
        <w:tc>
          <w:tcPr>
            <w:tcW w:w="3261" w:type="dxa"/>
            <w:tcBorders>
              <w:top w:val="single" w:sz="4" w:space="0" w:color="7F7F7F"/>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Nombre Completo Secretario del Consejo de la Unidad Académica</w:t>
            </w:r>
          </w:p>
        </w:tc>
        <w:tc>
          <w:tcPr>
            <w:tcW w:w="283" w:type="dxa"/>
            <w:tcBorders>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tc>
        <w:tc>
          <w:tcPr>
            <w:tcW w:w="3118" w:type="dxa"/>
            <w:tcBorders>
              <w:top w:val="single" w:sz="4" w:space="0" w:color="7F7F7F"/>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Firma</w:t>
            </w:r>
          </w:p>
        </w:tc>
        <w:tc>
          <w:tcPr>
            <w:tcW w:w="285" w:type="dxa"/>
            <w:tcBorders>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val="false"/>
                <w:position w:val="0"/>
                <w:sz w:val="22"/>
                <w:sz w:val="22"/>
                <w:szCs w:val="22"/>
                <w:vertAlign w:val="baseline"/>
              </w:rPr>
            </w:r>
          </w:p>
        </w:tc>
        <w:tc>
          <w:tcPr>
            <w:tcW w:w="2975" w:type="dxa"/>
            <w:tcBorders>
              <w:top w:val="single" w:sz="4" w:space="0" w:color="7F7F7F"/>
              <w:bottom w:val="single" w:sz="4" w:space="0" w:color="000000"/>
            </w:tcBorders>
          </w:tcPr>
          <w:p>
            <w:pPr>
              <w:pStyle w:val="Normal1"/>
              <w:jc w:val="center"/>
              <w:rPr>
                <w:rFonts w:ascii="Calibri" w:hAnsi="Calibri" w:eastAsia="Calibri" w:cs="Calibri"/>
                <w:b w:val="false"/>
                <w:position w:val="0"/>
                <w:sz w:val="22"/>
                <w:sz w:val="22"/>
                <w:szCs w:val="22"/>
                <w:vertAlign w:val="baseline"/>
              </w:rPr>
            </w:pPr>
            <w:r>
              <w:rPr>
                <w:rFonts w:eastAsia="Calibri" w:cs="Calibri" w:ascii="Calibri" w:hAnsi="Calibri"/>
                <w:b/>
                <w:position w:val="0"/>
                <w:sz w:val="22"/>
                <w:sz w:val="22"/>
                <w:szCs w:val="22"/>
                <w:vertAlign w:val="baseline"/>
              </w:rPr>
              <w:t>Cargo</w:t>
            </w:r>
          </w:p>
        </w:tc>
        <w:tc>
          <w:tcPr>
            <w:tcW w:w="284" w:type="dxa"/>
            <w:tcBorders>
              <w:bottom w:val="single" w:sz="4" w:space="0" w:color="000000"/>
              <w:right w:val="single" w:sz="4" w:space="0" w:color="7F7F7F"/>
            </w:tcBorders>
          </w:tcPr>
          <w:p>
            <w:pPr>
              <w:pStyle w:val="Normal1"/>
              <w:jc w:val="center"/>
              <w:rPr>
                <w:rFonts w:ascii="Calibri" w:hAnsi="Calibri" w:eastAsia="Calibri" w:cs="Calibri"/>
                <w:position w:val="0"/>
                <w:sz w:val="22"/>
                <w:sz w:val="22"/>
                <w:szCs w:val="22"/>
                <w:vertAlign w:val="baseline"/>
              </w:rPr>
            </w:pPr>
            <w:r>
              <w:rPr>
                <w:rFonts w:eastAsia="Calibri" w:cs="Calibri" w:ascii="Calibri" w:hAnsi="Calibri"/>
                <w:position w:val="0"/>
                <w:sz w:val="22"/>
                <w:sz w:val="22"/>
                <w:szCs w:val="22"/>
                <w:vertAlign w:val="baseline"/>
              </w:rPr>
            </w:r>
          </w:p>
        </w:tc>
      </w:tr>
    </w:tbl>
    <w:p>
      <w:pPr>
        <w:pStyle w:val="Normal1"/>
        <w:rPr>
          <w:rFonts w:ascii="Calibri" w:hAnsi="Calibri" w:eastAsia="Calibri" w:cs="Calibri"/>
          <w:b w:val="false"/>
          <w:position w:val="0"/>
          <w:sz w:val="12"/>
          <w:sz w:val="12"/>
          <w:szCs w:val="12"/>
          <w:vertAlign w:val="baseline"/>
        </w:rPr>
      </w:pPr>
      <w:r>
        <w:rPr>
          <w:rFonts w:eastAsia="Calibri" w:cs="Calibri" w:ascii="Calibri" w:hAnsi="Calibri"/>
          <w:b w:val="false"/>
          <w:position w:val="0"/>
          <w:sz w:val="12"/>
          <w:sz w:val="12"/>
          <w:szCs w:val="12"/>
          <w:vertAlign w:val="baseline"/>
        </w:rPr>
      </w:r>
    </w:p>
    <w:p>
      <w:pPr>
        <w:pStyle w:val="Normal1"/>
        <w:rPr>
          <w:rFonts w:ascii="Calibri" w:hAnsi="Calibri" w:eastAsia="Calibri" w:cs="Calibri"/>
          <w:b w:val="false"/>
          <w:position w:val="0"/>
          <w:sz w:val="12"/>
          <w:sz w:val="12"/>
          <w:szCs w:val="12"/>
          <w:vertAlign w:val="baseline"/>
        </w:rPr>
      </w:pPr>
      <w:r>
        <w:rPr>
          <w:rFonts w:eastAsia="Calibri" w:cs="Calibri" w:ascii="Calibri" w:hAnsi="Calibri"/>
          <w:b w:val="false"/>
          <w:position w:val="0"/>
          <w:sz w:val="12"/>
          <w:sz w:val="12"/>
          <w:szCs w:val="12"/>
          <w:vertAlign w:val="baseline"/>
        </w:rPr>
      </w:r>
    </w:p>
    <w:sectPr>
      <w:footerReference w:type="default" r:id="rId4"/>
      <w:footnotePr>
        <w:numFmt w:val="decimal"/>
      </w:footnotePr>
      <w:type w:val="nextPage"/>
      <w:pgSz w:w="12240" w:h="15840"/>
      <w:pgMar w:left="851" w:right="851" w:gutter="0" w:header="0" w:top="1134" w:footer="567"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Calibri">
    <w:charset w:val="01"/>
    <w:family w:val="roman"/>
    <w:pitch w:val="variable"/>
  </w:font>
  <w:font w:name="Georgia">
    <w:charset w:val="01"/>
    <w:family w:val="roman"/>
    <w:pitch w:val="variable"/>
  </w:font>
  <w:font w:name="Arial Unicode MS">
    <w:charset w:val="01"/>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hanging="0" w:left="0" w:right="0"/>
      <w:jc w:val="righ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Página </w:t>
    </w:r>
    <w:r>
      <w:rPr/>
      <w:fldChar w:fldCharType="begin"/>
    </w:r>
    <w:r>
      <w:rPr/>
      <w:instrText xml:space="preserve"> PAGE </w:instrText>
    </w:r>
    <w:r>
      <w:rPr/>
      <w:fldChar w:fldCharType="separate"/>
    </w:r>
    <w:r>
      <w:rPr/>
      <w:t>7</w:t>
    </w:r>
    <w:r>
      <w:rPr/>
      <w:fldChar w:fldCharType="end"/>
    </w: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 xml:space="preserve"> de </w:t>
    </w:r>
    <w:r>
      <w:rPr/>
      <w:fldChar w:fldCharType="begin"/>
    </w:r>
    <w:r>
      <w:rPr/>
      <w:instrText xml:space="preserve"> NUMPAGES </w:instrText>
    </w:r>
    <w:r>
      <w:rPr/>
      <w:fldChar w:fldCharType="separate"/>
    </w:r>
    <w:r>
      <w:rPr/>
      <w:t>7</w:t>
    </w:r>
    <w:r>
      <w:rPr/>
      <w:fldChar w:fldCharType="end"/>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0"/>
        <w:sz w:val="20"/>
        <w:szCs w:val="20"/>
        <w:u w:val="none"/>
        <w:shd w:fill="auto" w:val="clear"/>
        <w:vertAlign w:val="baseline"/>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keepNext w:val="false"/>
        <w:keepLines w:val="false"/>
        <w:pageBreakBefore w:val="false"/>
        <w:widowControl/>
        <w:pBdr/>
        <w:shd w:val="clear" w:fill="auto"/>
        <w:spacing w:lineRule="auto" w:line="240" w:before="0" w:after="0"/>
        <w:ind w:hanging="0" w:left="0" w:right="0"/>
        <w:jc w:val="both"/>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Style w:val="Caracteresdenotaalpie"/>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El número de créditos y la intensidad horaria debe estar acorde con el plan de estudios del programa para el que fue diseñado el curso.</w:t>
      </w:r>
    </w:p>
  </w:footnote>
  <w:footnote w:id="3">
    <w:p>
      <w:pPr>
        <w:pStyle w:val="Normal1"/>
        <w:keepNext w:val="false"/>
        <w:keepLines w:val="false"/>
        <w:pageBreakBefore w:val="false"/>
        <w:widowControl/>
        <w:pBdr/>
        <w:shd w:val="clear" w:fill="auto"/>
        <w:spacing w:lineRule="auto" w:line="240" w:before="0" w:after="0"/>
        <w:ind w:hanging="0" w:left="0" w:right="0"/>
        <w:jc w:val="left"/>
        <w:rPr>
          <w:rFonts w:ascii="Arial" w:hAnsi="Arial" w:eastAsia="Arial" w:cs="Arial"/>
          <w:b w:val="false"/>
          <w:i w:val="false"/>
          <w:i w:val="false"/>
          <w:caps w:val="false"/>
          <w:smallCaps w:val="false"/>
          <w:strike w:val="false"/>
          <w:dstrike w:val="false"/>
          <w:color w:val="000000"/>
          <w:position w:val="0"/>
          <w:sz w:val="18"/>
          <w:sz w:val="18"/>
          <w:szCs w:val="18"/>
          <w:u w:val="none"/>
          <w:shd w:fill="auto" w:val="clear"/>
          <w:vertAlign w:val="baseline"/>
        </w:rPr>
      </w:pPr>
      <w:r>
        <w:rPr>
          <w:rStyle w:val="Caracteresdenotaalpie"/>
        </w:rPr>
        <w:footnoteRef/>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Reglamento Estudiantil y Normas Académicas de Pregrado (Acuerdo 1 del 15 de febrero de 1981), artículos 77 y 78.</w:t>
      </w:r>
    </w:p>
    <w:p>
      <w:pPr>
        <w:pStyle w:val="Normal1"/>
        <w:keepNext w:val="false"/>
        <w:keepLines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18"/>
          <w:sz w:val="18"/>
          <w:szCs w:val="18"/>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18"/>
          <w:sz w:val="18"/>
          <w:szCs w:val="18"/>
          <w:u w:val="none"/>
          <w:shd w:fill="auto" w:val="clear"/>
          <w:vertAlign w:val="baseline"/>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2">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080" w:hanging="360"/>
      </w:pPr>
      <w:rPr>
        <w:rFonts w:ascii="Courier New" w:hAnsi="Courier New" w:cs="Courier New" w:hint="default"/>
        <w:vertAlign w:val="baseline"/>
        <w:position w:val="0"/>
        <w:sz w:val="24"/>
      </w:rPr>
    </w:lvl>
    <w:lvl w:ilvl="2">
      <w:start w:val="1"/>
      <w:numFmt w:val="bullet"/>
      <w:lvlText w:val="▪"/>
      <w:lvlJc w:val="left"/>
      <w:pPr>
        <w:tabs>
          <w:tab w:val="num" w:pos="0"/>
        </w:tabs>
        <w:ind w:left="180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52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240" w:hanging="360"/>
      </w:pPr>
      <w:rPr>
        <w:rFonts w:ascii="Courier New" w:hAnsi="Courier New" w:cs="Courier New" w:hint="default"/>
        <w:vertAlign w:val="baseline"/>
        <w:position w:val="0"/>
        <w:sz w:val="24"/>
      </w:rPr>
    </w:lvl>
    <w:lvl w:ilvl="5">
      <w:start w:val="1"/>
      <w:numFmt w:val="bullet"/>
      <w:lvlText w:val="▪"/>
      <w:lvlJc w:val="left"/>
      <w:pPr>
        <w:tabs>
          <w:tab w:val="num" w:pos="0"/>
        </w:tabs>
        <w:ind w:left="396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468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400" w:hanging="360"/>
      </w:pPr>
      <w:rPr>
        <w:rFonts w:ascii="Courier New" w:hAnsi="Courier New" w:cs="Courier New" w:hint="default"/>
        <w:vertAlign w:val="baseline"/>
        <w:position w:val="0"/>
        <w:sz w:val="24"/>
      </w:rPr>
    </w:lvl>
    <w:lvl w:ilvl="8">
      <w:start w:val="1"/>
      <w:numFmt w:val="bullet"/>
      <w:lvlText w:val="▪"/>
      <w:lvlJc w:val="left"/>
      <w:pPr>
        <w:tabs>
          <w:tab w:val="num" w:pos="0"/>
        </w:tabs>
        <w:ind w:left="6120" w:hanging="360"/>
      </w:pPr>
      <w:rPr>
        <w:rFonts w:ascii="Noto Sans Symbols" w:hAnsi="Noto Sans Symbols" w:cs="Noto Sans Symbols" w:hint="default"/>
        <w:vertAlign w:val="baseline"/>
        <w:position w:val="0"/>
        <w:sz w:val="24"/>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4">
    <w:lvl w:ilvl="0">
      <w:start w:val="1"/>
      <w:numFmt w:val="bullet"/>
      <w:lvlText w:val="−"/>
      <w:lvlJc w:val="left"/>
      <w:pPr>
        <w:tabs>
          <w:tab w:val="num" w:pos="0"/>
        </w:tabs>
        <w:ind w:left="144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2160" w:hanging="360"/>
      </w:pPr>
      <w:rPr>
        <w:rFonts w:ascii="Courier New" w:hAnsi="Courier New" w:cs="Courier New" w:hint="default"/>
        <w:vertAlign w:val="baseline"/>
        <w:position w:val="0"/>
        <w:sz w:val="24"/>
      </w:rPr>
    </w:lvl>
    <w:lvl w:ilvl="2">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360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4320" w:hanging="360"/>
      </w:pPr>
      <w:rPr>
        <w:rFonts w:ascii="Courier New" w:hAnsi="Courier New" w:cs="Courier New" w:hint="default"/>
        <w:vertAlign w:val="baseline"/>
        <w:position w:val="0"/>
        <w:sz w:val="24"/>
      </w:rPr>
    </w:lvl>
    <w:lvl w:ilvl="5">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76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6480" w:hanging="360"/>
      </w:pPr>
      <w:rPr>
        <w:rFonts w:ascii="Courier New" w:hAnsi="Courier New" w:cs="Courier New" w:hint="default"/>
        <w:vertAlign w:val="baseline"/>
        <w:position w:val="0"/>
        <w:sz w:val="24"/>
      </w:rPr>
    </w:lvl>
    <w:lvl w:ilvl="8">
      <w:start w:val="1"/>
      <w:numFmt w:val="bullet"/>
      <w:lvlText w:val="▪"/>
      <w:lvlJc w:val="left"/>
      <w:pPr>
        <w:tabs>
          <w:tab w:val="num" w:pos="0"/>
        </w:tabs>
        <w:ind w:left="7200" w:hanging="360"/>
      </w:pPr>
      <w:rPr>
        <w:rFonts w:ascii="Noto Sans Symbols" w:hAnsi="Noto Sans Symbols" w:cs="Noto Sans Symbols" w:hint="default"/>
        <w:vertAlign w:val="baseline"/>
        <w:position w:val="0"/>
        <w:sz w:val="24"/>
      </w:rPr>
    </w:lvl>
  </w:abstractNum>
  <w:abstractNum w:abstractNumId="5">
    <w:lvl w:ilvl="0">
      <w:start w:val="1"/>
      <w:numFmt w:val="bullet"/>
      <w:lvlText w:val="●"/>
      <w:lvlJc w:val="left"/>
      <w:pPr>
        <w:tabs>
          <w:tab w:val="num" w:pos="0"/>
        </w:tabs>
        <w:ind w:left="36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080" w:hanging="360"/>
      </w:pPr>
      <w:rPr>
        <w:rFonts w:ascii="Courier New" w:hAnsi="Courier New" w:cs="Courier New" w:hint="default"/>
        <w:vertAlign w:val="baseline"/>
        <w:position w:val="0"/>
        <w:sz w:val="24"/>
      </w:rPr>
    </w:lvl>
    <w:lvl w:ilvl="2">
      <w:start w:val="1"/>
      <w:numFmt w:val="bullet"/>
      <w:lvlText w:val="▪"/>
      <w:lvlJc w:val="left"/>
      <w:pPr>
        <w:tabs>
          <w:tab w:val="num" w:pos="0"/>
        </w:tabs>
        <w:ind w:left="180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52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240" w:hanging="360"/>
      </w:pPr>
      <w:rPr>
        <w:rFonts w:ascii="Courier New" w:hAnsi="Courier New" w:cs="Courier New" w:hint="default"/>
        <w:vertAlign w:val="baseline"/>
        <w:position w:val="0"/>
        <w:sz w:val="24"/>
      </w:rPr>
    </w:lvl>
    <w:lvl w:ilvl="5">
      <w:start w:val="1"/>
      <w:numFmt w:val="bullet"/>
      <w:lvlText w:val="▪"/>
      <w:lvlJc w:val="left"/>
      <w:pPr>
        <w:tabs>
          <w:tab w:val="num" w:pos="0"/>
        </w:tabs>
        <w:ind w:left="396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468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400" w:hanging="360"/>
      </w:pPr>
      <w:rPr>
        <w:rFonts w:ascii="Courier New" w:hAnsi="Courier New" w:cs="Courier New" w:hint="default"/>
        <w:vertAlign w:val="baseline"/>
        <w:position w:val="0"/>
        <w:sz w:val="24"/>
      </w:rPr>
    </w:lvl>
    <w:lvl w:ilvl="8">
      <w:start w:val="1"/>
      <w:numFmt w:val="bullet"/>
      <w:lvlText w:val="▪"/>
      <w:lvlJc w:val="left"/>
      <w:pPr>
        <w:tabs>
          <w:tab w:val="num" w:pos="0"/>
        </w:tabs>
        <w:ind w:left="6120" w:hanging="360"/>
      </w:pPr>
      <w:rPr>
        <w:rFonts w:ascii="Noto Sans Symbols" w:hAnsi="Noto Sans Symbols" w:cs="Noto Sans Symbols" w:hint="default"/>
        <w:vertAlign w:val="baseline"/>
        <w:position w:val="0"/>
        <w:sz w:val="24"/>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7">
    <w:lvl w:ilvl="0">
      <w:start w:val="1"/>
      <w:numFmt w:val="decimal"/>
      <w:lvlText w:val="%1."/>
      <w:lvlJc w:val="left"/>
      <w:pPr>
        <w:tabs>
          <w:tab w:val="num" w:pos="0"/>
        </w:tabs>
        <w:ind w:left="360" w:hanging="360"/>
      </w:pPr>
      <w:rPr>
        <w:vertAlign w:val="baseline"/>
        <w:position w:val="0"/>
        <w:sz w:val="24"/>
      </w:rPr>
    </w:lvl>
    <w:lvl w:ilvl="1">
      <w:start w:val="1"/>
      <w:numFmt w:val="lowerLetter"/>
      <w:lvlText w:val="%2."/>
      <w:lvlJc w:val="left"/>
      <w:pPr>
        <w:tabs>
          <w:tab w:val="num" w:pos="0"/>
        </w:tabs>
        <w:ind w:left="1080" w:hanging="360"/>
      </w:pPr>
      <w:rPr>
        <w:vertAlign w:val="baseline"/>
        <w:position w:val="0"/>
        <w:sz w:val="24"/>
      </w:rPr>
    </w:lvl>
    <w:lvl w:ilvl="2">
      <w:start w:val="1"/>
      <w:numFmt w:val="lowerRoman"/>
      <w:lvlText w:val="%3."/>
      <w:lvlJc w:val="right"/>
      <w:pPr>
        <w:tabs>
          <w:tab w:val="num" w:pos="0"/>
        </w:tabs>
        <w:ind w:left="1800" w:hanging="180"/>
      </w:pPr>
      <w:rPr>
        <w:vertAlign w:val="baseline"/>
        <w:position w:val="0"/>
        <w:sz w:val="24"/>
      </w:rPr>
    </w:lvl>
    <w:lvl w:ilvl="3">
      <w:start w:val="1"/>
      <w:numFmt w:val="decimal"/>
      <w:lvlText w:val="%4."/>
      <w:lvlJc w:val="left"/>
      <w:pPr>
        <w:tabs>
          <w:tab w:val="num" w:pos="0"/>
        </w:tabs>
        <w:ind w:left="2520" w:hanging="360"/>
      </w:pPr>
      <w:rPr>
        <w:vertAlign w:val="baseline"/>
        <w:position w:val="0"/>
        <w:sz w:val="24"/>
      </w:rPr>
    </w:lvl>
    <w:lvl w:ilvl="4">
      <w:start w:val="1"/>
      <w:numFmt w:val="lowerLetter"/>
      <w:lvlText w:val="%5."/>
      <w:lvlJc w:val="left"/>
      <w:pPr>
        <w:tabs>
          <w:tab w:val="num" w:pos="0"/>
        </w:tabs>
        <w:ind w:left="3240" w:hanging="360"/>
      </w:pPr>
      <w:rPr>
        <w:vertAlign w:val="baseline"/>
        <w:position w:val="0"/>
        <w:sz w:val="24"/>
      </w:rPr>
    </w:lvl>
    <w:lvl w:ilvl="5">
      <w:start w:val="1"/>
      <w:numFmt w:val="lowerRoman"/>
      <w:lvlText w:val="%6."/>
      <w:lvlJc w:val="right"/>
      <w:pPr>
        <w:tabs>
          <w:tab w:val="num" w:pos="0"/>
        </w:tabs>
        <w:ind w:left="3960" w:hanging="180"/>
      </w:pPr>
      <w:rPr>
        <w:vertAlign w:val="baseline"/>
        <w:position w:val="0"/>
        <w:sz w:val="24"/>
      </w:rPr>
    </w:lvl>
    <w:lvl w:ilvl="6">
      <w:start w:val="1"/>
      <w:numFmt w:val="decimal"/>
      <w:lvlText w:val="%7."/>
      <w:lvlJc w:val="left"/>
      <w:pPr>
        <w:tabs>
          <w:tab w:val="num" w:pos="0"/>
        </w:tabs>
        <w:ind w:left="4680" w:hanging="360"/>
      </w:pPr>
      <w:rPr>
        <w:vertAlign w:val="baseline"/>
        <w:position w:val="0"/>
        <w:sz w:val="24"/>
      </w:rPr>
    </w:lvl>
    <w:lvl w:ilvl="7">
      <w:start w:val="1"/>
      <w:numFmt w:val="lowerLetter"/>
      <w:lvlText w:val="%8."/>
      <w:lvlJc w:val="left"/>
      <w:pPr>
        <w:tabs>
          <w:tab w:val="num" w:pos="0"/>
        </w:tabs>
        <w:ind w:left="5400" w:hanging="360"/>
      </w:pPr>
      <w:rPr>
        <w:vertAlign w:val="baseline"/>
        <w:position w:val="0"/>
        <w:sz w:val="24"/>
      </w:rPr>
    </w:lvl>
    <w:lvl w:ilvl="8">
      <w:start w:val="1"/>
      <w:numFmt w:val="lowerRoman"/>
      <w:lvlText w:val="%9."/>
      <w:lvlJc w:val="right"/>
      <w:pPr>
        <w:tabs>
          <w:tab w:val="num" w:pos="0"/>
        </w:tabs>
        <w:ind w:left="6120" w:hanging="180"/>
      </w:pPr>
      <w:rPr>
        <w:vertAlign w:val="baseline"/>
        <w:position w:val="0"/>
        <w:sz w:val="24"/>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es-ES"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tLeast" w:line="1" w:before="0" w:after="0"/>
      <w:jc w:val="left"/>
      <w:textAlignment w:val="top"/>
      <w:outlineLvl w:val="0"/>
    </w:pPr>
    <w:rPr>
      <w:rFonts w:ascii="Arial" w:hAnsi="Arial" w:eastAsia="Arial" w:cs="Arial"/>
      <w:color w:val="auto"/>
      <w:w w:val="100"/>
      <w:kern w:val="0"/>
      <w:position w:val="-1"/>
      <w:sz w:val="24"/>
      <w:szCs w:val="24"/>
      <w:effect w:val="none"/>
      <w:em w:val="none"/>
      <w:lang w:val="es-ES" w:eastAsia="es-ES" w:bidi="ar-SA"/>
    </w:rPr>
  </w:style>
  <w:style w:type="paragraph" w:styleId="Heading1">
    <w:name w:val="Heading 1"/>
    <w:basedOn w:val="Normal1"/>
    <w:next w:val="Normal1"/>
    <w:qFormat/>
    <w:pPr>
      <w:keepNext w:val="true"/>
      <w:suppressAutoHyphens w:val="true"/>
      <w:spacing w:lineRule="atLeast" w:line="1"/>
      <w:textAlignment w:val="top"/>
      <w:outlineLvl w:val="0"/>
    </w:pPr>
    <w:rPr>
      <w:rFonts w:ascii="Arial" w:hAnsi="Arial"/>
      <w:b/>
      <w:w w:val="100"/>
      <w:position w:val="-1"/>
      <w:sz w:val="24"/>
      <w:effect w:val="none"/>
      <w:em w:val="none"/>
      <w:lang w:val="es-ES" w:eastAsia="es-ES" w:bidi="ar-SA"/>
    </w:rPr>
  </w:style>
  <w:style w:type="paragraph" w:styleId="Heading2">
    <w:name w:val="Heading 2"/>
    <w:basedOn w:val="Normal1"/>
    <w:next w:val="Normal1"/>
    <w:qFormat/>
    <w:pPr>
      <w:keepNext w:val="true"/>
      <w:suppressAutoHyphens w:val="true"/>
      <w:spacing w:lineRule="atLeast" w:line="1"/>
      <w:jc w:val="center"/>
      <w:textAlignment w:val="top"/>
      <w:outlineLvl w:val="1"/>
    </w:pPr>
    <w:rPr>
      <w:rFonts w:ascii="Arial" w:hAnsi="Arial"/>
      <w:b/>
      <w:w w:val="100"/>
      <w:position w:val="-1"/>
      <w:sz w:val="24"/>
      <w:effect w:val="none"/>
      <w:em w:val="none"/>
      <w:lang w:val="es-ES" w:eastAsia="es-ES" w:bidi="ar-SA"/>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suppressAutoHyphens w:val="true"/>
      <w:spacing w:lineRule="atLeast" w:line="1"/>
      <w:jc w:val="both"/>
      <w:textAlignment w:val="top"/>
      <w:outlineLvl w:val="3"/>
    </w:pPr>
    <w:rPr>
      <w:rFonts w:ascii="Arial" w:hAnsi="Arial"/>
      <w:b/>
      <w:w w:val="100"/>
      <w:position w:val="-1"/>
      <w:sz w:val="16"/>
      <w:effect w:val="none"/>
      <w:em w:val="none"/>
      <w:lang w:val="es-ES" w:eastAsia="es-ES" w:bidi="ar-SA"/>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Fuentedeprrafopredeter">
    <w:name w:val="Fuente de párrafo predeter."/>
    <w:qFormat/>
    <w:rPr>
      <w:w w:val="100"/>
      <w:position w:val="0"/>
      <w:sz w:val="24"/>
      <w:effect w:val="none"/>
      <w:vertAlign w:val="baseline"/>
      <w:em w:val="none"/>
    </w:rPr>
  </w:style>
  <w:style w:type="character" w:styleId="Refdecomentario">
    <w:name w:val="Ref. de comentario"/>
    <w:qFormat/>
    <w:rPr>
      <w:w w:val="100"/>
      <w:position w:val="0"/>
      <w:sz w:val="16"/>
      <w:sz w:val="16"/>
      <w:szCs w:val="16"/>
      <w:effect w:val="none"/>
      <w:vertAlign w:val="baseline"/>
      <w:em w:val="none"/>
    </w:rPr>
  </w:style>
  <w:style w:type="character" w:styleId="TextocomentarioCar">
    <w:name w:val="Texto comentario Car"/>
    <w:qFormat/>
    <w:rPr>
      <w:rFonts w:ascii="Arial" w:hAnsi="Arial"/>
      <w:w w:val="100"/>
      <w:position w:val="0"/>
      <w:sz w:val="24"/>
      <w:effect w:val="none"/>
      <w:vertAlign w:val="baseline"/>
      <w:em w:val="none"/>
    </w:rPr>
  </w:style>
  <w:style w:type="character" w:styleId="AsuntodelcomentarioCar">
    <w:name w:val="Asunto del comentario Car"/>
    <w:qFormat/>
    <w:rPr>
      <w:rFonts w:ascii="Arial" w:hAnsi="Arial"/>
      <w:b/>
      <w:bCs/>
      <w:w w:val="100"/>
      <w:position w:val="0"/>
      <w:sz w:val="24"/>
      <w:effect w:val="none"/>
      <w:vertAlign w:val="baseline"/>
      <w:em w:val="none"/>
    </w:rPr>
  </w:style>
  <w:style w:type="character" w:styleId="TextodegloboCar">
    <w:name w:val="Texto de globo Car"/>
    <w:qFormat/>
    <w:rPr>
      <w:rFonts w:ascii="Tahoma" w:hAnsi="Tahoma" w:cs="Tahoma"/>
      <w:w w:val="100"/>
      <w:position w:val="0"/>
      <w:sz w:val="16"/>
      <w:sz w:val="16"/>
      <w:szCs w:val="16"/>
      <w:effect w:val="none"/>
      <w:vertAlign w:val="baseline"/>
      <w:em w:val="none"/>
    </w:rPr>
  </w:style>
  <w:style w:type="character" w:styleId="EncabezadoCar">
    <w:name w:val="Encabezado Car"/>
    <w:qFormat/>
    <w:rPr>
      <w:rFonts w:ascii="Arial" w:hAnsi="Arial"/>
      <w:w w:val="100"/>
      <w:position w:val="0"/>
      <w:sz w:val="24"/>
      <w:sz w:val="24"/>
      <w:effect w:val="none"/>
      <w:vertAlign w:val="baseline"/>
      <w:em w:val="none"/>
    </w:rPr>
  </w:style>
  <w:style w:type="character" w:styleId="PiedepginaCar">
    <w:name w:val="Pie de página Car"/>
    <w:qFormat/>
    <w:rPr>
      <w:rFonts w:ascii="Arial" w:hAnsi="Arial"/>
      <w:w w:val="100"/>
      <w:position w:val="0"/>
      <w:sz w:val="24"/>
      <w:sz w:val="24"/>
      <w:effect w:val="none"/>
      <w:vertAlign w:val="baseline"/>
      <w:em w:val="none"/>
    </w:rPr>
  </w:style>
  <w:style w:type="character" w:styleId="TextonotaalfinalCar">
    <w:name w:val="Texto nota al final Car"/>
    <w:qFormat/>
    <w:rPr>
      <w:rFonts w:ascii="Arial" w:hAnsi="Arial"/>
      <w:w w:val="100"/>
      <w:position w:val="0"/>
      <w:sz w:val="24"/>
      <w:effect w:val="none"/>
      <w:vertAlign w:val="baseline"/>
      <w:em w:val="none"/>
    </w:rPr>
  </w:style>
  <w:style w:type="character" w:styleId="Refdenotaalfinal">
    <w:name w:val="Ref. de nota al final"/>
    <w:qFormat/>
    <w:rPr>
      <w:w w:val="100"/>
      <w:effect w:val="none"/>
      <w:vertAlign w:val="superscript"/>
      <w:em w:val="none"/>
    </w:rPr>
  </w:style>
  <w:style w:type="character" w:styleId="Textodelmarcadordeposicin">
    <w:name w:val="Texto del marcador de posición"/>
    <w:qFormat/>
    <w:rPr>
      <w:color w:val="808080"/>
      <w:w w:val="100"/>
      <w:position w:val="0"/>
      <w:sz w:val="24"/>
      <w:effect w:val="none"/>
      <w:vertAlign w:val="baseline"/>
      <w:em w:val="none"/>
    </w:rPr>
  </w:style>
  <w:style w:type="character" w:styleId="TextonotapieCar">
    <w:name w:val="Texto nota pie Car"/>
    <w:qFormat/>
    <w:rPr>
      <w:rFonts w:ascii="Arial" w:hAnsi="Arial"/>
      <w:w w:val="100"/>
      <w:position w:val="0"/>
      <w:sz w:val="24"/>
      <w:effect w:val="none"/>
      <w:vertAlign w:val="baseline"/>
      <w:em w:val="none"/>
    </w:rPr>
  </w:style>
  <w:style w:type="character" w:styleId="Refdenotaalpie">
    <w:name w:val="Ref. de nota al pie"/>
    <w:qFormat/>
    <w:rPr>
      <w:w w:val="100"/>
      <w:effect w:val="none"/>
      <w:vertAlign w:val="superscript"/>
      <w:em w:val="none"/>
    </w:rPr>
  </w:style>
  <w:style w:type="character" w:styleId="Textoindependiente2Car">
    <w:name w:val="Texto independiente 2 Car"/>
    <w:qFormat/>
    <w:rPr>
      <w:rFonts w:ascii="Arial" w:hAnsi="Arial"/>
      <w:w w:val="100"/>
      <w:position w:val="0"/>
      <w:sz w:val="24"/>
      <w:effect w:val="none"/>
      <w:vertAlign w:val="baseline"/>
      <w:em w:val="none"/>
    </w:rPr>
  </w:style>
  <w:style w:type="character" w:styleId="Hipervnculo">
    <w:name w:val="Hipervínculo"/>
    <w:qFormat/>
    <w:rPr>
      <w:color w:val="0000FF"/>
      <w:w w:val="100"/>
      <w:position w:val="0"/>
      <w:sz w:val="24"/>
      <w:u w:val="single"/>
      <w:effect w:val="none"/>
      <w:vertAlign w:val="baseline"/>
      <w:em w:val="none"/>
    </w:rPr>
  </w:style>
  <w:style w:type="character" w:styleId="Hyperlink">
    <w:name w:val="Hyperlink"/>
    <w:rPr>
      <w:color w:val="000080"/>
      <w:u w:val="single"/>
    </w:rPr>
  </w:style>
  <w:style w:type="character" w:styleId="Caracteresdenotaalpie">
    <w:name w:val="Caracteres de nota al pie"/>
    <w:qForma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Caracteresdenotafinal">
    <w:name w:val="Caracteres de nota final"/>
    <w:qFormat/>
    <w:rPr/>
  </w:style>
  <w:style w:type="paragraph" w:styleId="Ttulo">
    <w:name w:val="Título"/>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normal1"/>
    <w:qFormat/>
    <w:pPr>
      <w:widowControl/>
      <w:bidi w:val="0"/>
      <w:spacing w:before="0" w:after="0"/>
      <w:jc w:val="left"/>
    </w:pPr>
    <w:rPr>
      <w:rFonts w:ascii="Arial" w:hAnsi="Arial" w:eastAsia="Arial" w:cs="Arial"/>
      <w:color w:val="auto"/>
      <w:kern w:val="0"/>
      <w:sz w:val="24"/>
      <w:szCs w:val="24"/>
      <w:lang w:val="es-E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Textocomentario">
    <w:name w:val="Texto comentario"/>
    <w:basedOn w:val="Normal1"/>
    <w:qFormat/>
    <w:pPr>
      <w:suppressAutoHyphens w:val="true"/>
      <w:spacing w:lineRule="atLeast" w:line="1"/>
      <w:textAlignment w:val="top"/>
      <w:outlineLvl w:val="0"/>
    </w:pPr>
    <w:rPr>
      <w:rFonts w:ascii="Arial" w:hAnsi="Arial"/>
      <w:w w:val="100"/>
      <w:position w:val="-1"/>
      <w:sz w:val="20"/>
      <w:effect w:val="none"/>
      <w:em w:val="none"/>
      <w:lang w:val="und" w:eastAsia="und" w:bidi="ar-SA"/>
    </w:rPr>
  </w:style>
  <w:style w:type="paragraph" w:styleId="Asuntodelcomentario">
    <w:name w:val="Asunto del comentario"/>
    <w:basedOn w:val="Textocomentario"/>
    <w:next w:val="Textocomentario"/>
    <w:qFormat/>
    <w:pPr>
      <w:suppressAutoHyphens w:val="true"/>
      <w:spacing w:lineRule="atLeast" w:line="1"/>
      <w:textAlignment w:val="top"/>
    </w:pPr>
    <w:rPr>
      <w:rFonts w:ascii="Arial" w:hAnsi="Arial"/>
      <w:b/>
      <w:bCs/>
      <w:w w:val="100"/>
      <w:position w:val="-1"/>
      <w:sz w:val="20"/>
      <w:effect w:val="none"/>
      <w:em w:val="none"/>
      <w:lang w:val="und" w:eastAsia="und" w:bidi="ar-SA"/>
    </w:rPr>
  </w:style>
  <w:style w:type="paragraph" w:styleId="Textodeglobo">
    <w:name w:val="Texto de globo"/>
    <w:basedOn w:val="Normal1"/>
    <w:qFormat/>
    <w:pPr>
      <w:suppressAutoHyphens w:val="true"/>
      <w:spacing w:lineRule="atLeast" w:line="1"/>
      <w:textAlignment w:val="top"/>
      <w:outlineLvl w:val="0"/>
    </w:pPr>
    <w:rPr>
      <w:rFonts w:ascii="Tahoma" w:hAnsi="Tahoma"/>
      <w:w w:val="100"/>
      <w:position w:val="-1"/>
      <w:sz w:val="16"/>
      <w:szCs w:val="16"/>
      <w:effect w:val="none"/>
      <w:em w:val="none"/>
      <w:lang w:val="und" w:eastAsia="und" w:bidi="ar-SA"/>
    </w:rPr>
  </w:style>
  <w:style w:type="paragraph" w:styleId="Revisin">
    <w:name w:val="Revisión"/>
    <w:qFormat/>
    <w:pPr>
      <w:widowControl/>
      <w:suppressAutoHyphens w:val="true"/>
      <w:bidi w:val="0"/>
      <w:spacing w:lineRule="atLeast" w:line="1" w:before="0" w:after="0"/>
      <w:jc w:val="left"/>
      <w:textAlignment w:val="top"/>
      <w:outlineLvl w:val="0"/>
    </w:pPr>
    <w:rPr>
      <w:rFonts w:ascii="Arial" w:hAnsi="Arial" w:eastAsia="Arial" w:cs="Arial"/>
      <w:color w:val="auto"/>
      <w:w w:val="100"/>
      <w:kern w:val="0"/>
      <w:position w:val="-1"/>
      <w:sz w:val="24"/>
      <w:szCs w:val="24"/>
      <w:effect w:val="none"/>
      <w:em w:val="none"/>
      <w:lang w:val="es-ES" w:eastAsia="es-ES" w:bidi="ar-SA"/>
    </w:rPr>
  </w:style>
  <w:style w:type="paragraph" w:styleId="Encabezado">
    <w:name w:val="Encabezado"/>
    <w:basedOn w:val="Normal1"/>
    <w:qFormat/>
    <w:pPr>
      <w:suppressAutoHyphens w:val="true"/>
      <w:spacing w:lineRule="atLeast" w:line="1"/>
      <w:textAlignment w:val="top"/>
      <w:outlineLvl w:val="0"/>
    </w:pPr>
    <w:rPr>
      <w:rFonts w:ascii="Arial" w:hAnsi="Arial"/>
      <w:w w:val="100"/>
      <w:position w:val="-1"/>
      <w:sz w:val="24"/>
      <w:effect w:val="none"/>
      <w:em w:val="none"/>
      <w:lang w:val="und" w:eastAsia="und" w:bidi="ar-SA"/>
    </w:rPr>
  </w:style>
  <w:style w:type="paragraph" w:styleId="Cabeceraypie">
    <w:name w:val="Cabecera y pie"/>
    <w:basedOn w:val="Normal"/>
    <w:qFormat/>
    <w:pPr/>
    <w:rPr/>
  </w:style>
  <w:style w:type="paragraph" w:styleId="Footer">
    <w:name w:val="Footer"/>
    <w:basedOn w:val="Normal1"/>
    <w:qFormat/>
    <w:pPr>
      <w:suppressAutoHyphens w:val="true"/>
      <w:spacing w:lineRule="atLeast" w:line="1"/>
      <w:textAlignment w:val="top"/>
      <w:outlineLvl w:val="0"/>
    </w:pPr>
    <w:rPr>
      <w:rFonts w:ascii="Arial" w:hAnsi="Arial"/>
      <w:w w:val="100"/>
      <w:position w:val="-1"/>
      <w:sz w:val="24"/>
      <w:effect w:val="none"/>
      <w:em w:val="none"/>
      <w:lang w:val="und" w:eastAsia="und" w:bidi="ar-SA"/>
    </w:rPr>
  </w:style>
  <w:style w:type="paragraph" w:styleId="Textonotaalfinal">
    <w:name w:val="Texto nota al final"/>
    <w:basedOn w:val="Normal1"/>
    <w:qFormat/>
    <w:pPr>
      <w:suppressAutoHyphens w:val="true"/>
      <w:spacing w:lineRule="atLeast" w:line="1"/>
      <w:textAlignment w:val="top"/>
      <w:outlineLvl w:val="0"/>
    </w:pPr>
    <w:rPr>
      <w:rFonts w:ascii="Arial" w:hAnsi="Arial"/>
      <w:w w:val="100"/>
      <w:position w:val="-1"/>
      <w:sz w:val="20"/>
      <w:effect w:val="none"/>
      <w:em w:val="none"/>
      <w:lang w:val="und" w:eastAsia="und" w:bidi="ar-SA"/>
    </w:rPr>
  </w:style>
  <w:style w:type="paragraph" w:styleId="Estilo">
    <w:name w:val="Estilo"/>
    <w:qFormat/>
    <w:pPr>
      <w:widowControl w:val="false"/>
      <w:suppressAutoHyphens w:val="true"/>
      <w:bidi w:val="0"/>
      <w:spacing w:lineRule="atLeast" w:line="1" w:before="0" w:after="0"/>
      <w:jc w:val="left"/>
      <w:textAlignment w:val="top"/>
      <w:outlineLvl w:val="0"/>
    </w:pPr>
    <w:rPr>
      <w:rFonts w:ascii="Arial" w:hAnsi="Arial" w:eastAsia="Arial" w:cs="Arial"/>
      <w:color w:val="auto"/>
      <w:w w:val="100"/>
      <w:kern w:val="0"/>
      <w:position w:val="-1"/>
      <w:sz w:val="24"/>
      <w:szCs w:val="24"/>
      <w:effect w:val="none"/>
      <w:em w:val="none"/>
      <w:lang w:val="es-CO" w:eastAsia="es-CO" w:bidi="ar-SA"/>
    </w:rPr>
  </w:style>
  <w:style w:type="paragraph" w:styleId="Prrafodelista">
    <w:name w:val="Párrafo de lista"/>
    <w:basedOn w:val="Normal1"/>
    <w:qFormat/>
    <w:pPr>
      <w:suppressAutoHyphens w:val="true"/>
      <w:spacing w:lineRule="atLeast" w:line="1"/>
      <w:ind w:left="708"/>
      <w:textAlignment w:val="top"/>
      <w:outlineLvl w:val="0"/>
    </w:pPr>
    <w:rPr>
      <w:rFonts w:ascii="Verdana" w:hAnsi="Verdana" w:cs="Verdana"/>
      <w:w w:val="100"/>
      <w:position w:val="-1"/>
      <w:sz w:val="22"/>
      <w:szCs w:val="22"/>
      <w:effect w:val="none"/>
      <w:em w:val="none"/>
      <w:lang w:val="es-ES" w:eastAsia="es-ES" w:bidi="ar-SA"/>
    </w:rPr>
  </w:style>
  <w:style w:type="paragraph" w:styleId="Textonotapie">
    <w:name w:val="Texto nota pie"/>
    <w:basedOn w:val="Normal1"/>
    <w:qFormat/>
    <w:pPr>
      <w:suppressAutoHyphens w:val="true"/>
      <w:spacing w:lineRule="atLeast" w:line="1"/>
      <w:textAlignment w:val="top"/>
      <w:outlineLvl w:val="0"/>
    </w:pPr>
    <w:rPr>
      <w:rFonts w:ascii="Arial" w:hAnsi="Arial"/>
      <w:w w:val="100"/>
      <w:position w:val="-1"/>
      <w:sz w:val="20"/>
      <w:effect w:val="none"/>
      <w:em w:val="none"/>
      <w:lang w:val="es-ES" w:eastAsia="es-ES" w:bidi="ar-SA"/>
    </w:rPr>
  </w:style>
  <w:style w:type="paragraph" w:styleId="Default">
    <w:name w:val="Default"/>
    <w:qFormat/>
    <w:pPr>
      <w:widowControl/>
      <w:suppressAutoHyphens w:val="true"/>
      <w:bidi w:val="0"/>
      <w:spacing w:lineRule="atLeast" w:line="1" w:before="0" w:after="0"/>
      <w:jc w:val="left"/>
      <w:textAlignment w:val="top"/>
      <w:outlineLvl w:val="0"/>
    </w:pPr>
    <w:rPr>
      <w:rFonts w:ascii="Calibri" w:hAnsi="Calibri" w:cs="Calibri" w:eastAsia="Arial"/>
      <w:color w:val="000000"/>
      <w:w w:val="100"/>
      <w:kern w:val="0"/>
      <w:position w:val="-1"/>
      <w:sz w:val="24"/>
      <w:szCs w:val="24"/>
      <w:effect w:val="none"/>
      <w:em w:val="none"/>
      <w:lang w:val="es-CO" w:eastAsia="es-ES" w:bidi="ar-SA"/>
    </w:rPr>
  </w:style>
  <w:style w:type="paragraph" w:styleId="Textoindependiente21">
    <w:name w:val="Texto independiente 21"/>
    <w:basedOn w:val="Normal1"/>
    <w:qFormat/>
    <w:pPr>
      <w:suppressAutoHyphens w:val="false"/>
      <w:spacing w:lineRule="auto" w:line="480"/>
      <w:jc w:val="both"/>
      <w:textAlignment w:val="top"/>
      <w:outlineLvl w:val="0"/>
    </w:pPr>
    <w:rPr>
      <w:rFonts w:ascii="Arial" w:hAnsi="Arial"/>
      <w:w w:val="100"/>
      <w:position w:val="-1"/>
      <w:sz w:val="20"/>
      <w:effect w:val="none"/>
      <w:em w:val="none"/>
      <w:lang w:val="es-ES" w:eastAsia="ar-SA" w:bidi="ar-SA"/>
    </w:rPr>
  </w:style>
  <w:style w:type="paragraph" w:styleId="Prueba">
    <w:name w:val="prueba"/>
    <w:basedOn w:val="Normal1"/>
    <w:qFormat/>
    <w:pPr>
      <w:suppressAutoHyphens w:val="true"/>
      <w:spacing w:lineRule="atLeast" w:line="1" w:beforeAutospacing="1" w:afterAutospacing="1"/>
      <w:ind w:firstLine="500"/>
      <w:jc w:val="both"/>
      <w:textAlignment w:val="baseline"/>
      <w:outlineLvl w:val="0"/>
    </w:pPr>
    <w:rPr>
      <w:rFonts w:ascii="Verdana" w:hAnsi="Verdana"/>
      <w:color w:val="000066"/>
      <w:w w:val="100"/>
      <w:position w:val="-1"/>
      <w:sz w:val="21"/>
      <w:szCs w:val="21"/>
      <w:effect w:val="none"/>
      <w:em w:val="none"/>
      <w:lang w:val="es-CO" w:eastAsia="es-CO" w:bidi="ar-SA"/>
    </w:rPr>
  </w:style>
  <w:style w:type="paragraph" w:styleId="Textoindependiente2">
    <w:name w:val="Texto independiente 2"/>
    <w:basedOn w:val="Normal1"/>
    <w:qFormat/>
    <w:pPr>
      <w:suppressAutoHyphens w:val="true"/>
      <w:spacing w:lineRule="auto" w:line="480"/>
      <w:jc w:val="both"/>
      <w:textAlignment w:val="top"/>
      <w:outlineLvl w:val="0"/>
    </w:pPr>
    <w:rPr>
      <w:rFonts w:ascii="Arial" w:hAnsi="Arial"/>
      <w:w w:val="100"/>
      <w:position w:val="-1"/>
      <w:sz w:val="20"/>
      <w:effect w:val="none"/>
      <w:em w:val="none"/>
      <w:lang w:val="es-ES" w:eastAsia="es-ES"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ootnoteText">
    <w:name w:val="Footnote Text"/>
    <w:basedOn w:val="Normal"/>
    <w:pPr/>
    <w:rPr/>
  </w:style>
  <w:style w:type="numbering" w:styleId="Sinlista">
    <w:name w:val="Sin lista"/>
    <w:qFormat/>
  </w:style>
  <w:style w:type="table" w:default="1" w:styleId="TableNormal">
    <w:name w:val="Table Normal"/>
  </w:style>
  <w:style w:type="table" w:styleId="Tablanormal">
    <w:name w:val="Tabla normal"/>
    <w:qFormat/>
    <w:pPr>
      <w:ind w:rightChars="0"/>
      <w:spacing w:line="1" w:lineRule="atLeast"/>
    </w:pPr>
    <w:rPr/>
    <w:tblPr>
      <w:tblCellMar>
        <w:top w:w="0" w:type="dxa"/>
        <w:left w:w="108" w:type="dxa"/>
        <w:bottom w:w="0" w:type="dxa"/>
        <w:right w:w="108" w:type="dxa"/>
      </w:tblCellMar>
    </w:tblPr>
  </w:style>
  <w:style w:type="table" w:styleId="Tablaconcuadrícula">
    <w:name w:val="Tabla con cuadrícula"/>
    <w:basedOn w:val="Tablanormal"/>
    <w:qFormat/>
    <w:pPr>
      <w:ind w:rightChars="0"/>
      <w:spacing w:line="1" w:lineRule="atLeast"/>
    </w:pPr>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rua.ua.es/dspace/bitstream/10045/854/1/llinares-cibem-05.pdf"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qW1l6q8e0vxZcj6Do1ZaOQc6OCA==">AMUW2mUJW3VpocafipicjXiTGhrU9iVkc5xq8VkyKNvMyWVyU7CgGK6i5he4Xm8pJ9HoQU/jd/rstzBij0MlIxcu+RiI3qjyQEVvLfxHWnUW4MAGSNaG1xVJurXhTHplGY4jwbYiMJQMHIzmwsCw6VDFZVzRRfmVAkUFmOc8bd+RZbq9/cxzv0eXqN5VgKWAsIeE8KT+nueLU88y02381cK0Xltp2l0Z2pdwK33oNKVARF5tYbNHp1rkUEG9XFhKXUienNibfZKhh5HvIbMhcXAY9HGo0r6QOcddOJ5tNFHbvn0O0ErV6nsRlgSN/sXCEKP5zWXjjV/BHc4BLG0UqJDBi5XuXE8lnolB/Dn4JazqGGq/DdtLZ1FETOJZXT79HfXYjD8RwWv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LibreOffice/7.6.2.1$Linux_X86_64 LibreOffice_project/9d0b4c0791fc17bc4181a67fd90c5aaed576d1c0</Application>
  <AppVersion>15.0000</AppVersion>
  <Pages>7</Pages>
  <Words>2004</Words>
  <Characters>11998</Characters>
  <CharactersWithSpaces>13871</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2022-03-22T22:04:00Z</dcterms:created>
  <dc:creator>VICERRECTORÍA DE DOCENCIA</dc:creator>
  <dc:description/>
  <dc:language>es-CO</dc:language>
  <cp:lastModifiedBy/>
  <dcterms:modified xsi:type="dcterms:W3CDTF">2023-11-04T19:18:50Z</dcterms:modified>
  <cp:revision>1</cp:revision>
  <dc:subject/>
  <dc:title/>
</cp:coreProperties>
</file>