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485" w:type="dxa"/>
        <w:jc w:val="left"/>
        <w:tblInd w:w="0" w:type="dxa"/>
        <w:tblLayout w:type="fixed"/>
        <w:tblCellMar>
          <w:top w:w="0" w:type="dxa"/>
          <w:left w:w="108" w:type="dxa"/>
          <w:bottom w:w="0" w:type="dxa"/>
          <w:right w:w="108" w:type="dxa"/>
        </w:tblCellMar>
        <w:tblLook w:val="000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jc w:val="center"/>
              <w:rPr>
                <w:position w:val="0"/>
                <w:sz w:val="20"/>
                <w:sz w:val="20"/>
                <w:szCs w:val="20"/>
                <w:vertAlign w:val="baseline"/>
              </w:rPr>
            </w:pPr>
            <w:r>
              <w:rPr/>
              <w:drawing>
                <wp:inline distT="0" distB="0" distL="0" distR="0">
                  <wp:extent cx="525780" cy="68580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2578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val="false"/>
                <w:position w:val="0"/>
                <w:sz w:val="28"/>
                <w:sz w:val="28"/>
                <w:szCs w:val="28"/>
                <w:vertAlign w:val="baseline"/>
              </w:rPr>
            </w:pPr>
            <w:r>
              <w:rPr>
                <w:b/>
                <w:position w:val="0"/>
                <w:sz w:val="28"/>
                <w:sz w:val="28"/>
                <w:szCs w:val="28"/>
                <w:vertAlign w:val="baseline"/>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b w:val="false"/>
                <w:position w:val="0"/>
                <w:sz w:val="28"/>
                <w:sz w:val="28"/>
                <w:szCs w:val="28"/>
                <w:vertAlign w:val="baseline"/>
              </w:rPr>
            </w:pPr>
            <w:r>
              <w:rPr>
                <w:b w:val="false"/>
                <w:position w:val="0"/>
                <w:sz w:val="28"/>
                <w:sz w:val="28"/>
                <w:szCs w:val="28"/>
                <w:vertAlign w:val="baseline"/>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val="false"/>
                <w:position w:val="0"/>
                <w:sz w:val="24"/>
                <w:sz w:val="24"/>
                <w:vertAlign w:val="baseline"/>
              </w:rPr>
            </w:pPr>
            <w:r>
              <w:rPr>
                <w:b/>
                <w:position w:val="0"/>
                <w:sz w:val="24"/>
                <w:sz w:val="24"/>
                <w:vertAlign w:val="baseline"/>
              </w:rPr>
              <w:t>UNIVERSIDAD DE ANTIOQUIA</w:t>
            </w:r>
          </w:p>
        </w:tc>
      </w:tr>
    </w:tbl>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tbl>
      <w:tblPr>
        <w:tblStyle w:val="Table2"/>
        <w:tblW w:w="10495" w:type="dxa"/>
        <w:jc w:val="left"/>
        <w:tblInd w:w="-10" w:type="dxa"/>
        <w:tblLayout w:type="fixed"/>
        <w:tblCellMar>
          <w:top w:w="0" w:type="dxa"/>
          <w:left w:w="108" w:type="dxa"/>
          <w:bottom w:w="0" w:type="dxa"/>
          <w:right w:w="108" w:type="dxa"/>
        </w:tblCellMar>
        <w:tblLook w:val="0000"/>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Unidad Académica:</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Programas académicos a los cuales se ofrece el curso:</w:t>
            </w:r>
          </w:p>
        </w:tc>
        <w:tc>
          <w:tcPr>
            <w:tcW w:w="5132" w:type="dxa"/>
            <w:gridSpan w:val="7"/>
            <w:tcBorders>
              <w:top w:val="single" w:sz="4" w:space="0" w:color="7F7F7F"/>
              <w:bottom w:val="single" w:sz="4" w:space="0" w:color="7F7F7F"/>
              <w:right w:val="single" w:sz="4" w:space="0" w:color="7F7F7F"/>
            </w:tcBorders>
            <w:vAlign w:val="center"/>
          </w:tcPr>
          <w:p>
            <w:pPr>
              <w:pStyle w:val="Normal1"/>
              <w:rPr>
                <w:rFonts w:ascii="Calibri" w:hAnsi="Calibri" w:eastAsia="Calibri" w:cs="Calibri"/>
                <w:color w:val="222222"/>
                <w:position w:val="0"/>
                <w:sz w:val="22"/>
                <w:sz w:val="22"/>
                <w:szCs w:val="22"/>
                <w:vertAlign w:val="baseline"/>
              </w:rPr>
            </w:pPr>
            <w:r>
              <w:rPr>
                <w:rFonts w:eastAsia="Calibri" w:cs="Calibri" w:ascii="Calibri" w:hAnsi="Calibri"/>
                <w:color w:val="222222"/>
                <w:position w:val="0"/>
                <w:sz w:val="22"/>
                <w:sz w:val="22"/>
                <w:szCs w:val="22"/>
                <w:vertAlign w:val="baseline"/>
              </w:rPr>
              <w:t>Licenciatura en matemáticas</w:t>
            </w:r>
          </w:p>
          <w:p>
            <w:pPr>
              <w:pStyle w:val="Normal1"/>
              <w:rPr>
                <w:rFonts w:ascii="Calibri" w:hAnsi="Calibri" w:eastAsia="Calibri" w:cs="Calibri"/>
                <w:position w:val="0"/>
                <w:sz w:val="22"/>
                <w:sz w:val="22"/>
                <w:szCs w:val="22"/>
                <w:vertAlign w:val="baseline"/>
              </w:rPr>
            </w:pPr>
            <w:r>
              <w:rPr/>
            </w:r>
          </w:p>
          <w:p>
            <w:pPr>
              <w:pStyle w:val="Normal1"/>
              <w:rPr>
                <w:rFonts w:ascii="Calibri" w:hAnsi="Calibri" w:eastAsia="Calibri" w:cs="Calibri"/>
                <w:color w:val="222222"/>
                <w:position w:val="0"/>
                <w:sz w:val="22"/>
                <w:sz w:val="22"/>
                <w:szCs w:val="22"/>
                <w:vertAlign w:val="baseline"/>
              </w:rPr>
            </w:pPr>
            <w:r>
              <w:rPr>
                <w:rFonts w:eastAsia="Calibri" w:cs="Calibri" w:ascii="Calibri" w:hAnsi="Calibri"/>
                <w:position w:val="0"/>
                <w:sz w:val="22"/>
                <w:sz w:val="22"/>
                <w:szCs w:val="22"/>
                <w:vertAlign w:val="baseline"/>
              </w:rPr>
              <w:t>Licenciatura en física</w:t>
            </w:r>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Vigencia:</w:t>
            </w:r>
          </w:p>
        </w:tc>
        <w:tc>
          <w:tcPr>
            <w:tcW w:w="4395" w:type="dxa"/>
            <w:gridSpan w:val="7"/>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2024-1, 2024-2</w:t>
            </w:r>
          </w:p>
        </w:tc>
        <w:tc>
          <w:tcPr>
            <w:tcW w:w="1700" w:type="dxa"/>
            <w:gridSpan w:val="2"/>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Código curso:</w:t>
            </w:r>
          </w:p>
        </w:tc>
        <w:tc>
          <w:tcPr>
            <w:tcW w:w="2977" w:type="dxa"/>
            <w:gridSpan w:val="3"/>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color w:val="222222"/>
                <w:position w:val="0"/>
                <w:sz w:val="24"/>
                <w:sz w:val="24"/>
                <w:vertAlign w:val="baseline"/>
              </w:rPr>
              <w:t>2096232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del curso:</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color w:val="222222"/>
                <w:position w:val="0"/>
                <w:sz w:val="22"/>
                <w:sz w:val="22"/>
                <w:szCs w:val="22"/>
                <w:vertAlign w:val="baseline"/>
              </w:rPr>
              <w:t>Seminario didáctica de la aritmética</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b/>
                <w:position w:val="0"/>
                <w:sz w:val="22"/>
                <w:sz w:val="22"/>
                <w:szCs w:val="22"/>
                <w:vertAlign w:val="baseline"/>
              </w:rPr>
              <w:t xml:space="preserve">Área o componente de formación del currículo (pregrado):  </w:t>
            </w:r>
            <w:r>
              <w:rPr>
                <w:rFonts w:eastAsia="Calibri" w:cs="Calibri" w:ascii="Calibri" w:hAnsi="Calibri"/>
                <w:position w:val="0"/>
                <w:sz w:val="22"/>
                <w:sz w:val="22"/>
                <w:szCs w:val="22"/>
                <w:vertAlign w:val="baseline"/>
              </w:rPr>
              <w:t>Didáctica y Práctica</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Área o componente de formación del currículo (posgrado):  </w:t>
            </w:r>
            <w:r>
              <w:rPr>
                <w:rFonts w:eastAsia="Calibri" w:cs="Calibri" w:ascii="Calibri" w:hAnsi="Calibri"/>
                <w:color w:val="808080"/>
                <w:position w:val="0"/>
                <w:sz w:val="22"/>
                <w:sz w:val="22"/>
                <w:szCs w:val="22"/>
                <w:vertAlign w:val="baseline"/>
              </w:rPr>
              <w:t>Elija un elemento</w:t>
            </w:r>
            <w:r>
              <w:rPr>
                <w:color w:val="808080"/>
                <w:position w:val="0"/>
                <w:sz w:val="24"/>
                <w:sz w:val="24"/>
                <w:vertAlign w:val="baseline"/>
              </w:rPr>
              <w:t>.</w:t>
            </w:r>
          </w:p>
        </w:tc>
      </w:tr>
      <w:tr>
        <w:trPr>
          <w:trHeight w:val="510" w:hRule="atLeast"/>
        </w:trPr>
        <w:tc>
          <w:tcPr>
            <w:tcW w:w="1562" w:type="dxa"/>
            <w:gridSpan w:val="2"/>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Tipo de curso:</w:t>
            </w:r>
          </w:p>
        </w:tc>
        <w:tc>
          <w:tcPr>
            <w:tcW w:w="3687" w:type="dxa"/>
            <w:gridSpan w:val="3"/>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Teórico - práctico</w:t>
            </w:r>
          </w:p>
        </w:tc>
        <w:tc>
          <w:tcPr>
            <w:tcW w:w="3091" w:type="dxa"/>
            <w:gridSpan w:val="6"/>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Créditos académicos</w:t>
            </w:r>
            <w:r>
              <w:rPr>
                <w:rStyle w:val="FootnoteReference"/>
                <w:rFonts w:eastAsia="Calibri" w:cs="Calibri" w:ascii="Calibri" w:hAnsi="Calibri"/>
                <w:b/>
                <w:sz w:val="22"/>
                <w:szCs w:val="22"/>
                <w:vertAlign w:val="superscript"/>
              </w:rPr>
              <w:footnoteReference w:id="2"/>
            </w:r>
            <w:r>
              <w:rPr>
                <w:rFonts w:eastAsia="Calibri" w:cs="Calibri" w:ascii="Calibri" w:hAnsi="Calibri"/>
                <w:b/>
                <w:position w:val="0"/>
                <w:sz w:val="22"/>
                <w:sz w:val="22"/>
                <w:szCs w:val="22"/>
                <w:vertAlign w:val="baseline"/>
              </w:rPr>
              <w:t>:</w:t>
            </w:r>
          </w:p>
        </w:tc>
        <w:tc>
          <w:tcPr>
            <w:tcW w:w="2154" w:type="dxa"/>
            <w:gridSpan w:val="2"/>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4"/>
                <w:sz w:val="24"/>
                <w:vertAlign w:val="baseline"/>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Características del curso:</w:t>
            </w:r>
            <w:r>
              <w:rPr>
                <w:rFonts w:eastAsia="Calibri" w:cs="Calibri" w:ascii="Calibri" w:hAnsi="Calibri"/>
                <w:position w:val="0"/>
                <w:sz w:val="22"/>
                <w:sz w:val="22"/>
                <w:szCs w:val="22"/>
                <w:vertAlign w:val="baseline"/>
              </w:rPr>
              <w:t xml:space="preserve">      Validable </w:t>
            </w:r>
            <w:sdt>
              <w:sdtPr>
                <w:tag w:val="goog_rdk_0"/>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Habilitable </w:t>
            </w:r>
            <w:sdt>
              <w:sdtPr>
                <w:tag w:val="goog_rdk_1"/>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Clasificable </w:t>
            </w:r>
            <w:sdt>
              <w:sdtPr>
                <w:tag w:val="goog_rdk_2"/>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Evaluación de suficiencia</w:t>
            </w:r>
            <w:r>
              <w:rPr>
                <w:rFonts w:eastAsia="Calibri" w:cs="Calibri" w:ascii="Calibri" w:hAnsi="Calibri"/>
                <w:smallCaps/>
                <w:position w:val="0"/>
                <w:sz w:val="22"/>
                <w:sz w:val="22"/>
                <w:szCs w:val="22"/>
                <w:vertAlign w:val="baseline"/>
              </w:rPr>
              <w:t xml:space="preserve"> </w:t>
            </w:r>
            <w:sdt>
              <w:sdtPr>
                <w:tag w:val="goog_rdk_3"/>
              </w:sdtPr>
              <w:sdtContent>
                <w:r>
                  <w:rPr>
                    <w:rFonts w:eastAsia="Calibri" w:cs="Calibri" w:ascii="Calibri" w:hAnsi="Calibri"/>
                    <w:smallCaps/>
                    <w:position w:val="0"/>
                    <w:sz w:val="22"/>
                    <w:sz w:val="22"/>
                    <w:szCs w:val="22"/>
                    <w:vertAlign w:val="baseline"/>
                  </w:rPr>
                </w:r>
                <w:r>
                  <w:rPr>
                    <w:rFonts w:eastAsia="Arial Unicode MS" w:cs="Arial Unicode MS" w:ascii="Arial Unicode MS" w:hAnsi="Arial Unicode MS"/>
                    <w:smallCaps/>
                    <w:position w:val="0"/>
                    <w:sz w:val="22"/>
                    <w:sz w:val="22"/>
                    <w:szCs w:val="22"/>
                    <w:vertAlign w:val="baseline"/>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Modalidad del curso:    </w:t>
            </w:r>
            <w:r>
              <w:rPr>
                <w:rFonts w:eastAsia="Calibri" w:cs="Calibri" w:ascii="Calibri" w:hAnsi="Calibri"/>
                <w:position w:val="0"/>
                <w:sz w:val="22"/>
                <w:sz w:val="22"/>
                <w:szCs w:val="22"/>
                <w:vertAlign w:val="baseline"/>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Pre-requisitos:</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Fundamentos de aritmética: cantidades y magnitudes. Código 2096132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keepNext w:val="false"/>
              <w:keepLines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Co-requisitos</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color w:val="808080"/>
                <w:position w:val="0"/>
                <w:sz w:val="22"/>
                <w:sz w:val="22"/>
                <w:szCs w:val="22"/>
                <w:vertAlign w:val="baseline"/>
              </w:rPr>
              <w:t>Co-requisitos con nombre y código MARES.</w:t>
            </w:r>
          </w:p>
        </w:tc>
      </w:tr>
      <w:tr>
        <w:trPr>
          <w:trHeight w:val="510" w:hRule="atLeast"/>
        </w:trPr>
        <w:tc>
          <w:tcPr>
            <w:tcW w:w="5249"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docencia directa:</w:t>
            </w:r>
            <w:r>
              <w:rPr>
                <w:rFonts w:eastAsia="Calibri" w:cs="Calibri" w:ascii="Calibri" w:hAnsi="Calibri"/>
                <w:position w:val="0"/>
                <w:sz w:val="24"/>
                <w:sz w:val="24"/>
                <w:vertAlign w:val="baseline"/>
              </w:rPr>
              <w:t xml:space="preserve"> </w:t>
            </w:r>
            <w:r>
              <w:rPr>
                <w:rFonts w:eastAsia="Calibri" w:cs="Calibri" w:ascii="Calibri" w:hAnsi="Calibri"/>
              </w:rPr>
              <w:t>5</w:t>
            </w:r>
          </w:p>
        </w:tc>
        <w:tc>
          <w:tcPr>
            <w:tcW w:w="236" w:type="dxa"/>
            <w:gridSpan w:val="2"/>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3594"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de trabajo independiente :</w:t>
            </w:r>
          </w:p>
        </w:tc>
        <w:tc>
          <w:tcPr>
            <w:tcW w:w="1415" w:type="dxa"/>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totales del curso:</w:t>
            </w:r>
            <w:r>
              <w:rPr>
                <w:rFonts w:eastAsia="Calibri" w:cs="Calibri" w:ascii="Calibri" w:hAnsi="Calibri"/>
                <w:position w:val="0"/>
                <w:sz w:val="24"/>
                <w:sz w:val="24"/>
                <w:vertAlign w:val="baseline"/>
              </w:rPr>
              <w:t xml:space="preserve"> </w:t>
            </w:r>
            <w:r>
              <w:rPr>
                <w:rFonts w:eastAsia="Calibri" w:cs="Calibri" w:ascii="Calibri" w:hAnsi="Calibri"/>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vAlign w:val="center"/>
          </w:tcPr>
          <w:p>
            <w:pPr>
              <w:pStyle w:val="Normal1"/>
              <w:ind w:hanging="0" w:left="-108"/>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Profesor(a) que elaboró:</w:t>
            </w:r>
          </w:p>
          <w:p>
            <w:pPr>
              <w:pStyle w:val="Normal1"/>
              <w:ind w:hanging="0" w:left="-108"/>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Marco Julio Cañas Campillo</w:t>
            </w:r>
          </w:p>
        </w:tc>
        <w:tc>
          <w:tcPr>
            <w:tcW w:w="1983"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Correo electrónico:</w:t>
            </w:r>
          </w:p>
        </w:tc>
        <w:tc>
          <w:tcPr>
            <w:tcW w:w="3544" w:type="dxa"/>
            <w:gridSpan w:val="4"/>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Marco.canas@udea.edu.co</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3"/>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b/>
                <w:position w:val="0"/>
                <w:sz w:val="22"/>
                <w:sz w:val="22"/>
                <w:szCs w:val="22"/>
                <w:vertAlign w:val="baseline"/>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Este seminario es el primero del proceso de formación en didácticas específicas. Se orienta al estudio y reflexión de elementos teóricos y prácticos que posibilitan el diálogo entre los fundamentos de la aritmética y el saber pedagógico en contextos particulares. Su pertinencia se fundamenta en la necesidad que tienen los maestros en formación de tejer significados en los procesos de enseñanza y de aprendizaje de las matemáticas en contextos numéricos. Este seminario brinda a los futuros licenciados herramientas conceptuales y metodológicas para el diseño y aplicación de situaciones relacionadas con la aritmética desde un punto de vista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En coherencia con los propósitos de formación trazados en este espacio se hace un recorrido didáctico y reflexivo desde un punto de vista escolar de aspectos como la construcción del número en el niño, el esquema aditivo, el esquema multiplicativo, las cantidades relativas y absolutas (significados de los números enteros), los números racionales, razones y proporciones.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seminario destaca la importancia del análisis y la construcción de situaciones de aula, con una perspectiva reflexiva, que vincule actividades de aprendizaje en contextos numéricos y que fortalezcan en los futuros maestros, la toma de decisiones frente a las herramientas metodológicas para la planeación, ejecución y sistematización de actividades didácticas orientadas en contextos escolares específicos.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 general:</w:t>
            </w:r>
          </w:p>
          <w:p>
            <w:pPr>
              <w:pStyle w:val="Normal1"/>
              <w:jc w:val="both"/>
              <w:rPr>
                <w:position w:val="0"/>
                <w:sz w:val="22"/>
                <w:sz w:val="22"/>
                <w:szCs w:val="22"/>
                <w:vertAlign w:val="baseline"/>
              </w:rPr>
            </w:pPr>
            <w:r>
              <w:rPr>
                <w:rFonts w:eastAsia="Calibri" w:cs="Calibri" w:ascii="Calibri" w:hAnsi="Calibri"/>
                <w:position w:val="0"/>
                <w:sz w:val="22"/>
                <w:sz w:val="22"/>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2"/>
                <w:sz w:val="22"/>
                <w:szCs w:val="22"/>
                <w:vertAlign w:val="baseline"/>
              </w:rPr>
              <w:t>.</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4"/>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4"/>
                <w:sz w:val="24"/>
                <w:vertAlign w:val="baseline"/>
              </w:rPr>
            </w:pPr>
            <w:r>
              <w:rPr>
                <w:rFonts w:eastAsia="Calibri" w:cs="Calibri" w:ascii="Calibri" w:hAnsi="Calibri"/>
                <w:b/>
                <w:position w:val="0"/>
                <w:sz w:val="24"/>
                <w:sz w:val="24"/>
                <w:vertAlign w:val="baseline"/>
              </w:rPr>
              <w:t>Contenido:</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5"/>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Diseño, implementación y reflexión de una práctica relacionada con el pensamiento numérico en la escuela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5"/>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METODOLOGÍA</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 este espacio de formación es fundamental la participación activa de todos los estudiantes, de tal manera que las reflexiones sean elaboradas de manera colectiva. También es importante el trabajo colaborativo para producir saber pedagógico en actividades como: debates, discusiones a partir de textos, paneles de discusión, presentaciones, socializaciones de actividades didácticas, plenarias, entre otras.</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concreción de las preguntas problematizadoras de los ejes se van consolidando desde diferentes estrategias para el análisis y discusión de los documentos que consolidan la bibliografía básica preparada para tal fin. Entre ellas está: la elaboración de reseñas, resúmenes, mapas conceptuales, etc. Es decir, para cada sesión, hay un trabajo de preparación de los materiales por parte de los estudiantes con base en alguna de las estrategias mencionadas. El material referenciado como complementario será el insumo para el trabajo académico autónomo de los estudiantes, este y su discusión en las asesorías debe fortalecer la comprensión de los elementos teóricos puestos en discusión en las clases.</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desarrollo del seminario también considera entre sus estrategias la exposición de textos y actividades de aula. Además, la realización de memorias, reflexiones y ensayos sobre las discusiones conceptuales realizadas, en cada sesión, a partir de los análisis y síntesis de los documentos trabajados previamente.</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Finalmente, los estudiantes, diseñan una actividad didáctica, para un contexto particular. Una vez la implementen, proceden a sistematizar la experiencia, donde sea evidente un ejercicio de reflexión en relación al proceso de enseñanza y aprendizaje asociado a la aritmética escolar.</w:t>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6"/>
        <w:tblW w:w="10495" w:type="dxa"/>
        <w:jc w:val="left"/>
        <w:tblInd w:w="-10" w:type="dxa"/>
        <w:tblLayout w:type="fixed"/>
        <w:tblCellMar>
          <w:top w:w="0" w:type="dxa"/>
          <w:left w:w="108" w:type="dxa"/>
          <w:bottom w:w="0" w:type="dxa"/>
          <w:right w:w="108" w:type="dxa"/>
        </w:tblCellMar>
        <w:tblLook w:val="0000"/>
      </w:tblPr>
      <w:tblGrid>
        <w:gridCol w:w="6098"/>
        <w:gridCol w:w="1418"/>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EVALUACIÓN</w:t>
            </w:r>
          </w:p>
        </w:tc>
      </w:tr>
      <w:tr>
        <w:trPr>
          <w:trHeight w:val="850" w:hRule="atLeast"/>
        </w:trPr>
        <w:tc>
          <w:tcPr>
            <w:tcW w:w="10495" w:type="dxa"/>
            <w:gridSpan w:val="3"/>
            <w:tcBorders>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Atendiendo a los lineamientos de la ruta metodológica del seminario y a los propósitos de formación de éste, la calificación final está configurada por la evaluación y valoración de los siguientes aspectos:</w:t>
            </w:r>
          </w:p>
        </w:tc>
      </w:tr>
      <w:tr>
        <w:trPr>
          <w:trHeight w:val="244" w:hRule="atLeast"/>
        </w:trPr>
        <w:tc>
          <w:tcPr>
            <w:tcW w:w="6098"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Actividad de evaluación</w:t>
            </w:r>
          </w:p>
        </w:tc>
        <w:tc>
          <w:tcPr>
            <w:tcW w:w="1418"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Porcentaje</w:t>
            </w:r>
          </w:p>
        </w:tc>
        <w:tc>
          <w:tcPr>
            <w:tcW w:w="2979"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Fecha</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Seguimiento 1:</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40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 a la 6</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Seguimiento 2</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20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7 a la 14</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Trabajo final escrito</w:t>
            </w:r>
          </w:p>
        </w:tc>
        <w:tc>
          <w:tcPr>
            <w:tcW w:w="141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20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Sustentación del trabajo final</w:t>
            </w:r>
          </w:p>
        </w:tc>
        <w:tc>
          <w:tcPr>
            <w:tcW w:w="141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10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Autoevaluación</w:t>
            </w:r>
          </w:p>
        </w:tc>
        <w:tc>
          <w:tcPr>
            <w:tcW w:w="141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10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16</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7"/>
        <w:tblW w:w="10495" w:type="dxa"/>
        <w:jc w:val="left"/>
        <w:tblInd w:w="-10" w:type="dxa"/>
        <w:tblLayout w:type="fixed"/>
        <w:tblCellMar>
          <w:top w:w="0" w:type="dxa"/>
          <w:left w:w="108" w:type="dxa"/>
          <w:bottom w:w="0" w:type="dxa"/>
          <w:right w:w="108" w:type="dxa"/>
        </w:tblCellMar>
        <w:tblLook w:val="0000"/>
      </w:tblPr>
      <w:tblGrid>
        <w:gridCol w:w="10495"/>
      </w:tblGrid>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Actividades de asistencia obligatoria</w:t>
            </w:r>
            <w:r>
              <w:rPr>
                <w:rStyle w:val="FootnoteReference"/>
                <w:rFonts w:eastAsia="Calibri" w:cs="Calibri" w:ascii="Calibri" w:hAnsi="Calibri"/>
                <w:b/>
                <w:sz w:val="22"/>
                <w:szCs w:val="22"/>
                <w:vertAlign w:val="superscript"/>
              </w:rPr>
              <w:footnoteReference w:id="3"/>
            </w:r>
            <w:r>
              <w:rPr>
                <w:rFonts w:eastAsia="Calibri" w:cs="Calibri" w:ascii="Calibri" w:hAnsi="Calibri"/>
                <w:b/>
                <w:position w:val="0"/>
                <w:sz w:val="22"/>
                <w:sz w:val="22"/>
                <w:szCs w:val="22"/>
                <w:vertAlign w:val="baseline"/>
              </w:rPr>
              <w:t>:</w:t>
            </w:r>
          </w:p>
        </w:tc>
      </w:tr>
      <w:tr>
        <w:trPr>
          <w:trHeight w:val="851" w:hRule="atLeast"/>
        </w:trPr>
        <w:tc>
          <w:tcPr>
            <w:tcW w:w="10495" w:type="dxa"/>
            <w:tcBorders>
              <w:left w:val="single" w:sz="4" w:space="0" w:color="7F7F7F"/>
              <w:bottom w:val="single" w:sz="4" w:space="0" w:color="7F7F7F"/>
              <w:right w:val="single" w:sz="4" w:space="0" w:color="7F7F7F"/>
            </w:tcBorders>
          </w:tcPr>
          <w:p>
            <w:pPr>
              <w:pStyle w:val="Normal1"/>
              <w:jc w:val="both"/>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8"/>
        <w:tblW w:w="10495" w:type="dxa"/>
        <w:jc w:val="left"/>
        <w:tblInd w:w="-10" w:type="dxa"/>
        <w:tblLayout w:type="fixed"/>
        <w:tblCellMar>
          <w:top w:w="0" w:type="dxa"/>
          <w:left w:w="108" w:type="dxa"/>
          <w:bottom w:w="0" w:type="dxa"/>
          <w:right w:w="108" w:type="dxa"/>
        </w:tblCellMar>
        <w:tblLook w:val="0000"/>
      </w:tblPr>
      <w:tblGrid>
        <w:gridCol w:w="10210"/>
        <w:gridCol w:w="284"/>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Bibliografía:</w:t>
            </w:r>
          </w:p>
        </w:tc>
      </w:tr>
      <w:tr>
        <w:trPr>
          <w:trHeight w:val="567" w:hRule="atLeast"/>
        </w:trPr>
        <w:tc>
          <w:tcPr>
            <w:tcW w:w="10210" w:type="dxa"/>
            <w:tcBorders>
              <w:top w:val="single" w:sz="4" w:space="0" w:color="7F7F7F"/>
              <w:left w:val="single" w:sz="4" w:space="0" w:color="7F7F7F"/>
              <w:bottom w:val="single" w:sz="4" w:space="0" w:color="7F7F7F"/>
            </w:tcBorders>
            <w:vAlign w:val="center"/>
          </w:tcPr>
          <w:p>
            <w:pPr>
              <w:pStyle w:val="Normal1"/>
              <w:keepNext w:val="false"/>
              <w:keepLines w:val="false"/>
              <w:widowControl/>
              <w:numPr>
                <w:ilvl w:val="0"/>
                <w:numId w:val="1"/>
              </w:numPr>
              <w:shd w:val="clear" w:fill="auto"/>
              <w:tabs>
                <w:tab w:val="clear" w:pos="720"/>
                <w:tab w:val="left" w:pos="750" w:leader="none"/>
              </w:tabs>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Eje Problémico 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Fundamentos teóricos sobre el desarrollo del pensamiento numérico en el contexto colombiano</w:t>
            </w:r>
          </w:p>
          <w:p>
            <w:pPr>
              <w:pStyle w:val="Normal1"/>
              <w:tabs>
                <w:tab w:val="clear" w:pos="720"/>
                <w:tab w:val="left" w:pos="750" w:leader="none"/>
              </w:tabs>
              <w:jc w:val="both"/>
              <w:rPr>
                <w:rFonts w:ascii="Calibri" w:hAnsi="Calibri" w:eastAsia="Calibri" w:cs="Calibri"/>
                <w:color w:val="A6A6A6"/>
                <w:position w:val="0"/>
                <w:sz w:val="24"/>
                <w:sz w:val="24"/>
                <w:vertAlign w:val="baseline"/>
              </w:rPr>
            </w:pPr>
            <w:r>
              <w:rPr>
                <w:rFonts w:eastAsia="Calibri" w:cs="Calibri" w:ascii="Calibri" w:hAnsi="Calibri"/>
                <w:color w:val="A6A6A6"/>
                <w:position w:val="0"/>
                <w:sz w:val="24"/>
                <w:sz w:val="24"/>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MINISTERIO DE EDUCACIÓN NACIONAL. (1998). Serie Lineamientos Curriculares, Matemáticas, Santafé de Bogotá, 1998</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MINISTERIO DE EDUCACIÓN NACIONAL. (2006). Estándares Básicos de Competencias en lenguaje, Matemáticas, Ciencias y Ciudadanas.  Bogotá.</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NATIONAL COUNCIL OF TEACHERS OF MATHEMATICS. (2000). Principios y Estándares para la Educación Matemática. Edición en castellano. Sociedad Andaluza de Educación Matemática “THALES”.</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Concepto de número y procesos de conteo</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BRISSIAUD, Remi. El aprendizaje del cálculo. Más allá de Piaget y de la teoría de conjuntos. Ed. aprendizaje Visor. Madrid. 1989. Pp 11 - 21.</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Camino a la aritmética. El ábaco como herramienta. Ministerio de educación naciona.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CERASOLI, Ana. </w:t>
            </w:r>
            <w:r>
              <w:rPr>
                <w:rFonts w:eastAsia="Calibri" w:cs="Calibri" w:ascii="Calibri" w:hAnsi="Calibri"/>
                <w:i/>
                <w:position w:val="0"/>
                <w:sz w:val="22"/>
                <w:sz w:val="22"/>
                <w:szCs w:val="22"/>
                <w:vertAlign w:val="baseline"/>
              </w:rPr>
              <w:t xml:space="preserve">Los diez magníficos. Un niño en el mundo de las matemáticas. </w:t>
            </w:r>
            <w:r>
              <w:rPr>
                <w:rFonts w:eastAsia="Calibri" w:cs="Calibri" w:ascii="Calibri" w:hAnsi="Calibri"/>
                <w:position w:val="0"/>
                <w:sz w:val="22"/>
                <w:sz w:val="22"/>
                <w:szCs w:val="22"/>
                <w:vertAlign w:val="baseline"/>
              </w:rPr>
              <w:t>Maeva ediciones. 2ª edición. 2006</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MARTINEZ MONTERO, Jaime. Una Didáctica del Cálculo para el siglo XXI. Ed. R.G.M. SA. España, 2000.</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CHAMORRO et ál., 2003, Didáctica de las matemáticas, Madrid, Pearson Educación</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B, Orlando. Criterios y Estrategias para la Enseñanza de la Matemática, Ministerio de Educación Nacional, serie publicaciones para maestros, Impreandes, Santa fe de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KAMII, Constante. </w:t>
            </w:r>
            <w:r>
              <w:rPr>
                <w:rFonts w:eastAsia="Calibri" w:cs="Calibri" w:ascii="Calibri" w:hAnsi="Calibri"/>
                <w:i/>
                <w:position w:val="0"/>
                <w:sz w:val="22"/>
                <w:sz w:val="22"/>
                <w:szCs w:val="22"/>
                <w:vertAlign w:val="baseline"/>
              </w:rPr>
              <w:t xml:space="preserve">El niño reinventa la aritmética. </w:t>
            </w:r>
            <w:r>
              <w:rPr>
                <w:rFonts w:eastAsia="Calibri" w:cs="Calibri" w:ascii="Calibri" w:hAnsi="Calibri"/>
                <w:position w:val="0"/>
                <w:sz w:val="22"/>
                <w:sz w:val="22"/>
                <w:szCs w:val="22"/>
                <w:vertAlign w:val="baseline"/>
              </w:rPr>
              <w:t>Ed. aprendizaje Visor. Madrid. 5ta ed 2000. Pp 17- 34.</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Aspectos conceptuales y metodológicos para desarrollar el esquema aditivo y esquema multiplicativo en la escuela</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MARTINEZ MONTERO. (2000) Jaime. Una Didáctica del Cálculo para el siglo XXI. Ed. R.G.M. SA. España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VERGNAUD, Gérard. (1997). El niño, las matemáticas y la realidad. Ed Trillas. México.</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RICO, Luis., Castro, Encarnación y Castro, Enrique. (1995) Estructuras Aritméticas Elementales y su Modelización. Impreso en Colombia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MAZA GÓMEZ</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Carlos. (1989) Sumar y Restar. El proceso de enseñanza/aprendizaje de la suma y de la resta. Visor Distribuciones. España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4.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Los números enteros</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Secretaría de educación para la cultura de Antioquia. (2006). Pensamiento Numérico y Sistemas Numéricos. Unidad 2: Números enteros. Artes y Letras Ltda. Medellín-Colombia. Unidad 2 del texto Pensamiento</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GONZALEZ, José Luis y otros. (1990)</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Números enteros.  Editorial SÍNTESIS S.A.  Madrid.</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5.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Números racionales, razones y proporciones</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LLINARES, Salvador. (2006). Fracciones, decimales y razón. En Didáctica de las matemáticas. Compilación coordinada Por María del Carmen Chamorro. Gráficas Rogar S.A. España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(2015). 7 Aventuras matemáticas para docentes. Medellín, Colombia: CTA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(2013). 4</w:t>
            </w:r>
            <w:r>
              <w:rPr>
                <w:rFonts w:eastAsia="Calibri" w:cs="Calibri" w:ascii="Calibri" w:hAnsi="Calibri"/>
                <w:sz w:val="22"/>
                <w:szCs w:val="22"/>
                <w:vertAlign w:val="superscript"/>
              </w:rPr>
              <w:t>2</w:t>
            </w:r>
            <w:r>
              <w:rPr>
                <w:rFonts w:eastAsia="Calibri" w:cs="Calibri" w:ascii="Calibri" w:hAnsi="Calibri"/>
                <w:position w:val="0"/>
                <w:sz w:val="22"/>
                <w:sz w:val="22"/>
                <w:szCs w:val="22"/>
                <w:vertAlign w:val="baseline"/>
              </w:rPr>
              <w:t xml:space="preserve"> Aventuras matemáticas para docentes. Medellín, Colombia: CTA.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position w:val="0"/>
                <w:sz w:val="22"/>
                <w:sz w:val="22"/>
                <w:szCs w:val="22"/>
                <w:vertAlign w:val="baseline"/>
              </w:rPr>
            </w:pPr>
            <w:r>
              <w:rPr>
                <w:rFonts w:eastAsia="Calibri" w:cs="Calibri" w:ascii="Calibri" w:hAnsi="Calibri"/>
                <w:position w:val="0"/>
                <w:sz w:val="22"/>
                <w:sz w:val="22"/>
                <w:szCs w:val="22"/>
                <w:vertAlign w:val="baseline"/>
              </w:rPr>
              <w:t>LLINARES, Salvador y SÁNCHEZ, M. Victoria.  (1997). Fracciones.  Editorial SÍNTESIS S.A.  Madrid</w:t>
            </w:r>
            <w:r>
              <w:rPr>
                <w:position w:val="0"/>
                <w:sz w:val="22"/>
                <w:sz w:val="22"/>
                <w:szCs w:val="22"/>
                <w:vertAlign w:val="baseline"/>
              </w:rPr>
              <w:t>.</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Secretaría de educación para la cultura de Antioquia. (2006). Pensamiento Numérico y Sistemas Numéricos. Artes y Letras Ltda. Medellín-Colombia.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6.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Análisis y reflexión a partir del diseño e implementación de actividades de aprendizaje</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OBANDO Z, Gilberto; MUNERA, John Jairo. Las situaciones problema como estrategia para la conceptualización matemática. Revista educación y pedagogía. Medellín: Universidad de Antioquia, Facultad de Educación. Vol. XV, no. 35, (enero- abril), 2003 pp 183-200.</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LLINARES, Salvador. (2005), Relación entre teorías sobre el aprendizaje del profesor de matemáticas y diseño de entornos de aprendizaje. Recuperado el 7 de septiembre de 2009, en </w:t>
            </w:r>
            <w:hyperlink r:id="rId3">
              <w:r>
                <w:rPr>
                  <w:rFonts w:eastAsia="Calibri" w:cs="Calibri" w:ascii="Calibri" w:hAnsi="Calibri"/>
                  <w:color w:val="0000FF"/>
                  <w:position w:val="0"/>
                  <w:sz w:val="22"/>
                  <w:sz w:val="22"/>
                  <w:szCs w:val="22"/>
                  <w:u w:val="single"/>
                  <w:vertAlign w:val="baseline"/>
                </w:rPr>
                <w:t>http://rua.ua.es/dspace/bitstream/10045/854/1/llinares-cibem-05.pdf</w:t>
              </w:r>
            </w:hyperlink>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(1997). Criterios y estrategias para la enseñanza de las matemáticas. Santafé de Bogotá: Ministerio de Educación Nacional.</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284" w:type="dxa"/>
            <w:tcBorders>
              <w:top w:val="single" w:sz="4" w:space="0" w:color="7F7F7F"/>
              <w:bottom w:val="single" w:sz="4" w:space="0" w:color="7F7F7F"/>
              <w:right w:val="single" w:sz="4" w:space="0" w:color="7F7F7F"/>
            </w:tcBorders>
            <w:vAlign w:val="center"/>
          </w:tcPr>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9"/>
        <w:tblW w:w="10490" w:type="dxa"/>
        <w:jc w:val="left"/>
        <w:tblInd w:w="-34" w:type="dxa"/>
        <w:tblLayout w:type="fixed"/>
        <w:tblCellMar>
          <w:top w:w="0" w:type="dxa"/>
          <w:left w:w="108" w:type="dxa"/>
          <w:bottom w:w="0" w:type="dxa"/>
          <w:right w:w="108" w:type="dxa"/>
        </w:tblCellMar>
        <w:tblLook w:val="000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Nombres y Apellidos</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Dependencia</w:t>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 Horas</w:t>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Sara María Velásquez López</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Ingeniera Industrial</w:t>
            </w:r>
          </w:p>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Mg. En enseñanza de las ciencias exactas y naturales.</w:t>
            </w:r>
          </w:p>
        </w:tc>
        <w:tc>
          <w:tcPr>
            <w:tcW w:w="991"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992"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10"/>
        <w:tblW w:w="10495" w:type="dxa"/>
        <w:jc w:val="left"/>
        <w:tblInd w:w="-10" w:type="dxa"/>
        <w:tblLayout w:type="fixed"/>
        <w:tblCellMar>
          <w:top w:w="0" w:type="dxa"/>
          <w:left w:w="108" w:type="dxa"/>
          <w:bottom w:w="0" w:type="dxa"/>
          <w:right w:w="108" w:type="dxa"/>
        </w:tblCellMar>
        <w:tblLook w:val="0000"/>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Aprobado en Acta  </w:t>
            </w:r>
            <w:r>
              <w:rPr>
                <w:rFonts w:eastAsia="Calibri" w:cs="Calibri" w:ascii="Calibri" w:hAnsi="Calibri"/>
                <w:color w:val="808080"/>
                <w:position w:val="0"/>
                <w:sz w:val="22"/>
                <w:sz w:val="22"/>
                <w:szCs w:val="22"/>
                <w:vertAlign w:val="baseline"/>
              </w:rPr>
              <w:t>número</w:t>
            </w:r>
            <w:r>
              <w:rPr>
                <w:rFonts w:eastAsia="Calibri" w:cs="Calibri" w:ascii="Calibri" w:hAnsi="Calibri"/>
                <w:position w:val="0"/>
                <w:sz w:val="22"/>
                <w:sz w:val="22"/>
                <w:szCs w:val="22"/>
                <w:vertAlign w:val="baseline"/>
              </w:rPr>
              <w:t xml:space="preserve"> del  </w:t>
            </w:r>
            <w:r>
              <w:rPr>
                <w:rFonts w:eastAsia="Calibri" w:cs="Calibri" w:ascii="Calibri" w:hAnsi="Calibri"/>
                <w:color w:val="808080"/>
                <w:position w:val="0"/>
                <w:sz w:val="24"/>
                <w:sz w:val="24"/>
                <w:vertAlign w:val="baseline"/>
              </w:rPr>
              <w:t>Haga clic aquí o pulse para escribir una fecha.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764" w:hRule="atLeast"/>
        </w:trPr>
        <w:tc>
          <w:tcPr>
            <w:tcW w:w="286" w:type="dxa"/>
            <w:tcBorders>
              <w:left w:val="single" w:sz="4" w:space="0" w:color="7F7F7F"/>
            </w:tcBorders>
          </w:tcPr>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3263"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3" w:type="dxa"/>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3118"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5" w:type="dxa"/>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975"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4" w:type="dxa"/>
            <w:tcBorders>
              <w:right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138" w:hRule="atLeast"/>
        </w:trPr>
        <w:tc>
          <w:tcPr>
            <w:tcW w:w="286" w:type="dxa"/>
            <w:tcBorders>
              <w:left w:val="single" w:sz="4" w:space="0" w:color="7F7F7F"/>
              <w:bottom w:val="single" w:sz="4" w:space="0" w:color="000000"/>
            </w:tcBorders>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3263"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Completo Secretario del Consejo de la Unidad Académica</w:t>
            </w:r>
          </w:p>
        </w:tc>
        <w:tc>
          <w:tcPr>
            <w:tcW w:w="283" w:type="dxa"/>
            <w:tcBorders>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3118"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Firma</w:t>
            </w:r>
          </w:p>
        </w:tc>
        <w:tc>
          <w:tcPr>
            <w:tcW w:w="285" w:type="dxa"/>
            <w:tcBorders>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2975"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Cargo</w:t>
            </w:r>
          </w:p>
        </w:tc>
        <w:tc>
          <w:tcPr>
            <w:tcW w:w="284" w:type="dxa"/>
            <w:tcBorders>
              <w:bottom w:val="single" w:sz="4" w:space="0" w:color="000000"/>
              <w:right w:val="single" w:sz="4" w:space="0" w:color="7F7F7F"/>
            </w:tcBorders>
          </w:tcPr>
          <w:p>
            <w:pPr>
              <w:pStyle w:val="Normal1"/>
              <w:jc w:val="center"/>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bl>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sectPr>
      <w:footerReference w:type="even" r:id="rId4"/>
      <w:footerReference w:type="default" r:id="rId5"/>
      <w:footerReference w:type="first" r:id="rId6"/>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Georgia">
    <w:charset w:val="01"/>
    <w:family w:val="roman"/>
    <w:pitch w:val="variable"/>
  </w:font>
  <w:font w:name="Arial Unicode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8</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8</w:t>
    </w:r>
    <w:r>
      <w:rPr/>
      <w:fldChar w:fldCharType="end"/>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8</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8</w:t>
    </w:r>
    <w:r>
      <w:rPr/>
      <w:fldChar w:fldCharType="end"/>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El número de créditos y la intensidad horaria debe estar acorde con el plan de estudios del programa para el que fue diseñado el curso.</w:t>
      </w:r>
    </w:p>
  </w:footnote>
  <w:footnote w:id="3">
    <w:p>
      <w:pPr>
        <w:pStyle w:val="Normal1"/>
        <w:keepNext w:val="false"/>
        <w:keepLines w:val="false"/>
        <w:pageBreakBefore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y Normas Académicas de Pregrado (Acuerdo 1 del 15 de febrero de 1981), artículos 77 y 78.</w:t>
      </w:r>
    </w:p>
    <w:p>
      <w:pPr>
        <w:pStyle w:val="Normal1"/>
        <w:keepNext w:val="false"/>
        <w:keepLines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sz w:val="24"/>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4">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4"/>
        <w:sz w:val="24"/>
      </w:rPr>
    </w:lvl>
  </w:abstractNum>
  <w:abstractNum w:abstractNumId="5">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sz w:val="24"/>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7">
    <w:lvl w:ilvl="0">
      <w:start w:val="1"/>
      <w:numFmt w:val="decimal"/>
      <w:lvlText w:val="%1."/>
      <w:lvlJc w:val="left"/>
      <w:pPr>
        <w:tabs>
          <w:tab w:val="num" w:pos="0"/>
        </w:tabs>
        <w:ind w:left="360" w:hanging="360"/>
      </w:pPr>
      <w:rPr>
        <w:vertAlign w:val="baseline"/>
        <w:position w:val="0"/>
        <w:sz w:val="24"/>
        <w:sz w:val="24"/>
      </w:rPr>
    </w:lvl>
    <w:lvl w:ilvl="1">
      <w:start w:val="1"/>
      <w:numFmt w:val="lowerLetter"/>
      <w:lvlText w:val="%2."/>
      <w:lvlJc w:val="left"/>
      <w:pPr>
        <w:tabs>
          <w:tab w:val="num" w:pos="0"/>
        </w:tabs>
        <w:ind w:left="1080" w:hanging="360"/>
      </w:pPr>
      <w:rPr>
        <w:vertAlign w:val="baseline"/>
        <w:position w:val="0"/>
        <w:sz w:val="24"/>
        <w:sz w:val="24"/>
      </w:rPr>
    </w:lvl>
    <w:lvl w:ilvl="2">
      <w:start w:val="1"/>
      <w:numFmt w:val="lowerRoman"/>
      <w:lvlText w:val="%3."/>
      <w:lvlJc w:val="right"/>
      <w:pPr>
        <w:tabs>
          <w:tab w:val="num" w:pos="0"/>
        </w:tabs>
        <w:ind w:left="1800" w:hanging="180"/>
      </w:pPr>
      <w:rPr>
        <w:vertAlign w:val="baseline"/>
        <w:position w:val="0"/>
        <w:sz w:val="24"/>
        <w:sz w:val="24"/>
      </w:rPr>
    </w:lvl>
    <w:lvl w:ilvl="3">
      <w:start w:val="1"/>
      <w:numFmt w:val="decimal"/>
      <w:lvlText w:val="%4."/>
      <w:lvlJc w:val="left"/>
      <w:pPr>
        <w:tabs>
          <w:tab w:val="num" w:pos="0"/>
        </w:tabs>
        <w:ind w:left="2520" w:hanging="360"/>
      </w:pPr>
      <w:rPr>
        <w:vertAlign w:val="baseline"/>
        <w:position w:val="0"/>
        <w:sz w:val="24"/>
        <w:sz w:val="24"/>
      </w:rPr>
    </w:lvl>
    <w:lvl w:ilvl="4">
      <w:start w:val="1"/>
      <w:numFmt w:val="lowerLetter"/>
      <w:lvlText w:val="%5."/>
      <w:lvlJc w:val="left"/>
      <w:pPr>
        <w:tabs>
          <w:tab w:val="num" w:pos="0"/>
        </w:tabs>
        <w:ind w:left="3240" w:hanging="360"/>
      </w:pPr>
      <w:rPr>
        <w:vertAlign w:val="baseline"/>
        <w:position w:val="0"/>
        <w:sz w:val="24"/>
        <w:sz w:val="24"/>
      </w:rPr>
    </w:lvl>
    <w:lvl w:ilvl="5">
      <w:start w:val="1"/>
      <w:numFmt w:val="lowerRoman"/>
      <w:lvlText w:val="%6."/>
      <w:lvlJc w:val="right"/>
      <w:pPr>
        <w:tabs>
          <w:tab w:val="num" w:pos="0"/>
        </w:tabs>
        <w:ind w:left="3960" w:hanging="180"/>
      </w:pPr>
      <w:rPr>
        <w:vertAlign w:val="baseline"/>
        <w:position w:val="0"/>
        <w:sz w:val="24"/>
        <w:sz w:val="24"/>
      </w:rPr>
    </w:lvl>
    <w:lvl w:ilvl="6">
      <w:start w:val="1"/>
      <w:numFmt w:val="decimal"/>
      <w:lvlText w:val="%7."/>
      <w:lvlJc w:val="left"/>
      <w:pPr>
        <w:tabs>
          <w:tab w:val="num" w:pos="0"/>
        </w:tabs>
        <w:ind w:left="4680" w:hanging="360"/>
      </w:pPr>
      <w:rPr>
        <w:vertAlign w:val="baseline"/>
        <w:position w:val="0"/>
        <w:sz w:val="24"/>
        <w:sz w:val="24"/>
      </w:rPr>
    </w:lvl>
    <w:lvl w:ilvl="7">
      <w:start w:val="1"/>
      <w:numFmt w:val="lowerLetter"/>
      <w:lvlText w:val="%8."/>
      <w:lvlJc w:val="left"/>
      <w:pPr>
        <w:tabs>
          <w:tab w:val="num" w:pos="0"/>
        </w:tabs>
        <w:ind w:left="5400" w:hanging="360"/>
      </w:pPr>
      <w:rPr>
        <w:vertAlign w:val="baseline"/>
        <w:position w:val="0"/>
        <w:sz w:val="24"/>
        <w:sz w:val="24"/>
      </w:rPr>
    </w:lvl>
    <w:lvl w:ilvl="8">
      <w:start w:val="1"/>
      <w:numFmt w:val="lowerRoman"/>
      <w:lvlText w:val="%9."/>
      <w:lvlJc w:val="right"/>
      <w:pPr>
        <w:tabs>
          <w:tab w:val="num" w:pos="0"/>
        </w:tabs>
        <w:ind w:left="6120" w:hanging="180"/>
      </w:pPr>
      <w:rPr>
        <w:vertAlign w:val="baseline"/>
        <w:position w:val="0"/>
        <w:sz w:val="24"/>
        <w:sz w:val="24"/>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ES" w:eastAsia="es-ES" w:bidi="ar-SA"/>
    </w:rPr>
  </w:style>
  <w:style w:type="paragraph" w:styleId="Heading1">
    <w:name w:val="Heading 1"/>
    <w:basedOn w:val="Normal1"/>
    <w:next w:val="Normal1"/>
    <w:qFormat/>
    <w:pPr>
      <w:keepNext w:val="true"/>
      <w:suppressAutoHyphens w:val="true"/>
      <w:spacing w:lineRule="atLeast" w:line="1"/>
      <w:textAlignment w:val="top"/>
      <w:outlineLvl w:val="0"/>
    </w:pPr>
    <w:rPr>
      <w:rFonts w:ascii="Arial" w:hAnsi="Arial"/>
      <w:b/>
      <w:w w:val="100"/>
      <w:position w:val="-1"/>
      <w:sz w:val="24"/>
      <w:effect w:val="none"/>
      <w:em w:val="none"/>
      <w:lang w:val="es-ES" w:eastAsia="es-ES" w:bidi="ar-SA"/>
    </w:rPr>
  </w:style>
  <w:style w:type="paragraph" w:styleId="Heading2">
    <w:name w:val="Heading 2"/>
    <w:basedOn w:val="Normal1"/>
    <w:next w:val="Normal1"/>
    <w:qFormat/>
    <w:pPr>
      <w:keepNext w:val="true"/>
      <w:suppressAutoHyphens w:val="true"/>
      <w:spacing w:lineRule="atLeast" w:line="1"/>
      <w:jc w:val="center"/>
      <w:textAlignment w:val="top"/>
      <w:outlineLvl w:val="1"/>
    </w:pPr>
    <w:rPr>
      <w:rFonts w:ascii="Arial" w:hAnsi="Arial"/>
      <w:b/>
      <w:w w:val="100"/>
      <w:position w:val="-1"/>
      <w:sz w:val="24"/>
      <w:effect w:val="none"/>
      <w:em w:val="none"/>
      <w:lang w:val="es-ES" w:eastAsia="es-ES" w:bidi="ar-SA"/>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suppressAutoHyphens w:val="true"/>
      <w:spacing w:lineRule="atLeast" w:line="1"/>
      <w:jc w:val="both"/>
      <w:textAlignment w:val="top"/>
      <w:outlineLvl w:val="3"/>
    </w:pPr>
    <w:rPr>
      <w:rFonts w:ascii="Arial" w:hAnsi="Arial"/>
      <w:b/>
      <w:w w:val="100"/>
      <w:position w:val="-1"/>
      <w:sz w:val="16"/>
      <w:effect w:val="none"/>
      <w:em w:val="none"/>
      <w:lang w:val="es-ES" w:eastAsia="es-ES" w:bidi="ar-SA"/>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4"/>
      <w:sz w:val="24"/>
      <w:effect w:val="none"/>
      <w:vertAlign w:val="baseline"/>
      <w:em w:val="none"/>
    </w:rPr>
  </w:style>
  <w:style w:type="character" w:styleId="Refdecomentario">
    <w:name w:val="Ref. de comentario"/>
    <w:qFormat/>
    <w:rPr>
      <w:w w:val="100"/>
      <w:position w:val="0"/>
      <w:sz w:val="16"/>
      <w:sz w:val="16"/>
      <w:szCs w:val="16"/>
      <w:effect w:val="none"/>
      <w:vertAlign w:val="baseline"/>
      <w:em w:val="none"/>
    </w:rPr>
  </w:style>
  <w:style w:type="character" w:styleId="TextocomentarioCar">
    <w:name w:val="Texto comentario Car"/>
    <w:qFormat/>
    <w:rPr>
      <w:rFonts w:ascii="Arial" w:hAnsi="Arial"/>
      <w:w w:val="100"/>
      <w:position w:val="0"/>
      <w:sz w:val="24"/>
      <w:sz w:val="24"/>
      <w:effect w:val="none"/>
      <w:vertAlign w:val="baseline"/>
      <w:em w:val="none"/>
    </w:rPr>
  </w:style>
  <w:style w:type="character" w:styleId="AsuntodelcomentarioCar">
    <w:name w:val="Asunto del comentario Car"/>
    <w:qFormat/>
    <w:rPr>
      <w:rFonts w:ascii="Arial" w:hAnsi="Arial"/>
      <w:b/>
      <w:bCs/>
      <w:w w:val="100"/>
      <w:position w:val="0"/>
      <w:sz w:val="24"/>
      <w:sz w:val="24"/>
      <w:effect w:val="none"/>
      <w:vertAlign w:val="baseline"/>
      <w:em w:val="none"/>
    </w:rPr>
  </w:style>
  <w:style w:type="character" w:styleId="TextodegloboCar">
    <w:name w:val="Texto de globo Car"/>
    <w:qFormat/>
    <w:rPr>
      <w:rFonts w:ascii="Tahoma" w:hAnsi="Tahoma" w:cs="Tahoma"/>
      <w:w w:val="100"/>
      <w:position w:val="0"/>
      <w:sz w:val="16"/>
      <w:sz w:val="16"/>
      <w:szCs w:val="16"/>
      <w:effect w:val="none"/>
      <w:vertAlign w:val="baseline"/>
      <w:em w:val="none"/>
    </w:rPr>
  </w:style>
  <w:style w:type="character" w:styleId="EncabezadoCar">
    <w:name w:val="Encabezado Car"/>
    <w:qFormat/>
    <w:rPr>
      <w:rFonts w:ascii="Arial" w:hAnsi="Arial"/>
      <w:w w:val="100"/>
      <w:position w:val="0"/>
      <w:sz w:val="24"/>
      <w:sz w:val="24"/>
      <w:effect w:val="none"/>
      <w:vertAlign w:val="baseline"/>
      <w:em w:val="none"/>
    </w:rPr>
  </w:style>
  <w:style w:type="character" w:styleId="PiedepginaCar">
    <w:name w:val="Pie de página Car"/>
    <w:qFormat/>
    <w:rPr>
      <w:rFonts w:ascii="Arial" w:hAnsi="Arial"/>
      <w:w w:val="100"/>
      <w:position w:val="0"/>
      <w:sz w:val="24"/>
      <w:sz w:val="24"/>
      <w:effect w:val="none"/>
      <w:vertAlign w:val="baseline"/>
      <w:em w:val="none"/>
    </w:rPr>
  </w:style>
  <w:style w:type="character" w:styleId="TextonotaalfinalCar">
    <w:name w:val="Texto nota al final Car"/>
    <w:qFormat/>
    <w:rPr>
      <w:rFonts w:ascii="Arial" w:hAnsi="Arial"/>
      <w:w w:val="100"/>
      <w:position w:val="0"/>
      <w:sz w:val="24"/>
      <w:sz w:val="24"/>
      <w:effect w:val="none"/>
      <w:vertAlign w:val="baseline"/>
      <w:em w:val="none"/>
    </w:rPr>
  </w:style>
  <w:style w:type="character" w:styleId="Refdenotaalfinal">
    <w:name w:val="Ref. de nota al final"/>
    <w:qFormat/>
    <w:rPr>
      <w:w w:val="100"/>
      <w:effect w:val="none"/>
      <w:vertAlign w:val="superscript"/>
      <w:em w:val="none"/>
    </w:rPr>
  </w:style>
  <w:style w:type="character" w:styleId="Textodelmarcadordeposicin">
    <w:name w:val="Texto del marcador de posición"/>
    <w:qFormat/>
    <w:rPr>
      <w:color w:val="808080"/>
      <w:w w:val="100"/>
      <w:position w:val="0"/>
      <w:sz w:val="24"/>
      <w:sz w:val="24"/>
      <w:effect w:val="none"/>
      <w:vertAlign w:val="baseline"/>
      <w:em w:val="none"/>
    </w:rPr>
  </w:style>
  <w:style w:type="character" w:styleId="TextonotapieCar">
    <w:name w:val="Texto nota pie Car"/>
    <w:qFormat/>
    <w:rPr>
      <w:rFonts w:ascii="Arial" w:hAnsi="Arial"/>
      <w:w w:val="100"/>
      <w:position w:val="0"/>
      <w:sz w:val="24"/>
      <w:sz w:val="24"/>
      <w:effect w:val="none"/>
      <w:vertAlign w:val="baseline"/>
      <w:em w:val="none"/>
    </w:rPr>
  </w:style>
  <w:style w:type="character" w:styleId="Refdenotaalpie">
    <w:name w:val="Ref. de nota al pie"/>
    <w:qFormat/>
    <w:rPr>
      <w:w w:val="100"/>
      <w:effect w:val="none"/>
      <w:vertAlign w:val="superscript"/>
      <w:em w:val="none"/>
    </w:rPr>
  </w:style>
  <w:style w:type="character" w:styleId="Textoindependiente2Car">
    <w:name w:val="Texto independiente 2 Car"/>
    <w:qFormat/>
    <w:rPr>
      <w:rFonts w:ascii="Arial" w:hAnsi="Arial"/>
      <w:w w:val="100"/>
      <w:position w:val="0"/>
      <w:sz w:val="24"/>
      <w:sz w:val="24"/>
      <w:effect w:val="none"/>
      <w:vertAlign w:val="baseline"/>
      <w:em w:val="none"/>
    </w:rPr>
  </w:style>
  <w:style w:type="character" w:styleId="Hipervnculo">
    <w:name w:val="Hipervínculo"/>
    <w:qFormat/>
    <w:rPr>
      <w:color w:val="0000FF"/>
      <w:w w:val="100"/>
      <w:position w:val="0"/>
      <w:sz w:val="24"/>
      <w:sz w:val="24"/>
      <w:u w:val="single"/>
      <w:effect w:val="none"/>
      <w:vertAlign w:val="baseline"/>
      <w:em w:val="none"/>
    </w:rPr>
  </w:style>
  <w:style w:type="character" w:styleId="Hyperlink">
    <w:name w:val="Hyperlink"/>
    <w:rPr>
      <w:color w:val="000080"/>
      <w:u w:val="single"/>
    </w:rPr>
  </w:style>
  <w:style w:type="character" w:styleId="Caracteresdenotaalpie">
    <w:name w:val="Caracteres de nota al pie"/>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Caracteresdenotafinal">
    <w:name w:val="Caracteres de nota final"/>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Normal1" w:default="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extocomentario">
    <w:name w:val="Texto comentario"/>
    <w:basedOn w:val="Normal1"/>
    <w:qFormat/>
    <w:pPr>
      <w:suppressAutoHyphens w:val="true"/>
      <w:spacing w:lineRule="atLeast" w:line="1"/>
      <w:textAlignment w:val="top"/>
      <w:outlineLvl w:val="0"/>
    </w:pPr>
    <w:rPr>
      <w:rFonts w:ascii="Arial" w:hAnsi="Arial"/>
      <w:w w:val="100"/>
      <w:position w:val="-1"/>
      <w:sz w:val="20"/>
      <w:effect w:val="none"/>
      <w:em w:val="none"/>
      <w:lang w:val="und" w:eastAsia="und" w:bidi="ar-SA"/>
    </w:rPr>
  </w:style>
  <w:style w:type="paragraph" w:styleId="Asuntodelcomentario">
    <w:name w:val="Asunto del comentario"/>
    <w:basedOn w:val="Textocomentario"/>
    <w:next w:val="Textocomentario"/>
    <w:qFormat/>
    <w:pPr>
      <w:suppressAutoHyphens w:val="true"/>
      <w:spacing w:lineRule="atLeast" w:line="1"/>
      <w:textAlignment w:val="top"/>
    </w:pPr>
    <w:rPr>
      <w:rFonts w:ascii="Arial" w:hAnsi="Arial"/>
      <w:b/>
      <w:bCs/>
      <w:w w:val="100"/>
      <w:position w:val="-1"/>
      <w:sz w:val="20"/>
      <w:effect w:val="none"/>
      <w:em w:val="none"/>
      <w:lang w:val="und" w:eastAsia="und" w:bidi="ar-SA"/>
    </w:rPr>
  </w:style>
  <w:style w:type="paragraph" w:styleId="Textodeglobo">
    <w:name w:val="Texto de globo"/>
    <w:basedOn w:val="Normal1"/>
    <w:qFormat/>
    <w:pPr>
      <w:suppressAutoHyphens w:val="true"/>
      <w:spacing w:lineRule="atLeast" w:line="1"/>
      <w:textAlignment w:val="top"/>
      <w:outlineLvl w:val="0"/>
    </w:pPr>
    <w:rPr>
      <w:rFonts w:ascii="Tahoma" w:hAnsi="Tahoma"/>
      <w:w w:val="100"/>
      <w:position w:val="-1"/>
      <w:sz w:val="16"/>
      <w:szCs w:val="16"/>
      <w:effect w:val="none"/>
      <w:em w:val="none"/>
      <w:lang w:val="und" w:eastAsia="und" w:bidi="ar-SA"/>
    </w:rPr>
  </w:style>
  <w:style w:type="paragraph" w:styleId="Revisin">
    <w:name w:val="Revisión"/>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ES" w:eastAsia="es-ES" w:bidi="ar-SA"/>
    </w:rPr>
  </w:style>
  <w:style w:type="paragraph" w:styleId="Encabezado">
    <w:name w:val="Encabezado"/>
    <w:basedOn w:val="Normal1"/>
    <w:qFormat/>
    <w:pPr>
      <w:suppressAutoHyphens w:val="true"/>
      <w:spacing w:lineRule="atLeast" w:line="1"/>
      <w:textAlignment w:val="top"/>
      <w:outlineLvl w:val="0"/>
    </w:pPr>
    <w:rPr>
      <w:rFonts w:ascii="Arial" w:hAnsi="Arial"/>
      <w:w w:val="100"/>
      <w:position w:val="-1"/>
      <w:sz w:val="24"/>
      <w:effect w:val="none"/>
      <w:em w:val="none"/>
      <w:lang w:val="und" w:eastAsia="und" w:bidi="ar-SA"/>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Normal1"/>
    <w:qFormat/>
    <w:pPr>
      <w:suppressAutoHyphens w:val="true"/>
      <w:spacing w:lineRule="atLeast" w:line="1"/>
      <w:textAlignment w:val="top"/>
      <w:outlineLvl w:val="0"/>
    </w:pPr>
    <w:rPr>
      <w:rFonts w:ascii="Arial" w:hAnsi="Arial"/>
      <w:w w:val="100"/>
      <w:position w:val="-1"/>
      <w:sz w:val="24"/>
      <w:effect w:val="none"/>
      <w:em w:val="none"/>
      <w:lang w:val="und" w:eastAsia="und" w:bidi="ar-SA"/>
    </w:rPr>
  </w:style>
  <w:style w:type="paragraph" w:styleId="Textonotaalfinal">
    <w:name w:val="Texto nota al final"/>
    <w:basedOn w:val="Normal1"/>
    <w:qFormat/>
    <w:pPr>
      <w:suppressAutoHyphens w:val="true"/>
      <w:spacing w:lineRule="atLeast" w:line="1"/>
      <w:textAlignment w:val="top"/>
      <w:outlineLvl w:val="0"/>
    </w:pPr>
    <w:rPr>
      <w:rFonts w:ascii="Arial" w:hAnsi="Arial"/>
      <w:w w:val="100"/>
      <w:position w:val="-1"/>
      <w:sz w:val="20"/>
      <w:effect w:val="none"/>
      <w:em w:val="none"/>
      <w:lang w:val="und" w:eastAsia="und" w:bidi="ar-SA"/>
    </w:rPr>
  </w:style>
  <w:style w:type="paragraph" w:styleId="Estilo">
    <w:name w:val="Estilo"/>
    <w:qFormat/>
    <w:pPr>
      <w:widowControl w:val="false"/>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CO" w:eastAsia="es-CO" w:bidi="ar-SA"/>
    </w:rPr>
  </w:style>
  <w:style w:type="paragraph" w:styleId="Prrafodelista">
    <w:name w:val="Párrafo de lista"/>
    <w:basedOn w:val="Normal1"/>
    <w:qFormat/>
    <w:pPr>
      <w:suppressAutoHyphens w:val="true"/>
      <w:spacing w:lineRule="atLeast" w:line="1"/>
      <w:ind w:left="708"/>
      <w:textAlignment w:val="top"/>
      <w:outlineLvl w:val="0"/>
    </w:pPr>
    <w:rPr>
      <w:rFonts w:ascii="Verdana" w:hAnsi="Verdana" w:cs="Verdana"/>
      <w:w w:val="100"/>
      <w:position w:val="-1"/>
      <w:sz w:val="22"/>
      <w:szCs w:val="22"/>
      <w:effect w:val="none"/>
      <w:em w:val="none"/>
      <w:lang w:val="es-ES" w:eastAsia="es-ES" w:bidi="ar-SA"/>
    </w:rPr>
  </w:style>
  <w:style w:type="paragraph" w:styleId="Textonotapie">
    <w:name w:val="Texto nota pie"/>
    <w:basedOn w:val="Normal1"/>
    <w:qFormat/>
    <w:pPr>
      <w:suppressAutoHyphens w:val="true"/>
      <w:spacing w:lineRule="atLeast" w:line="1"/>
      <w:textAlignment w:val="top"/>
      <w:outlineLvl w:val="0"/>
    </w:pPr>
    <w:rPr>
      <w:rFonts w:ascii="Arial" w:hAnsi="Arial"/>
      <w:w w:val="100"/>
      <w:position w:val="-1"/>
      <w:sz w:val="20"/>
      <w:effect w:val="none"/>
      <w:em w:val="none"/>
      <w:lang w:val="es-ES" w:eastAsia="es-ES" w:bidi="ar-SA"/>
    </w:rPr>
  </w:style>
  <w:style w:type="paragraph" w:styleId="Default">
    <w:name w:val="Default"/>
    <w:qFormat/>
    <w:pPr>
      <w:widowControl/>
      <w:suppressAutoHyphens w:val="true"/>
      <w:bidi w:val="0"/>
      <w:spacing w:lineRule="atLeast" w:line="1" w:before="0" w:after="0"/>
      <w:jc w:val="left"/>
      <w:textAlignment w:val="top"/>
      <w:outlineLvl w:val="0"/>
    </w:pPr>
    <w:rPr>
      <w:rFonts w:ascii="Calibri" w:hAnsi="Calibri" w:eastAsia="Arial" w:cs="Calibri"/>
      <w:color w:val="000000"/>
      <w:w w:val="100"/>
      <w:kern w:val="0"/>
      <w:position w:val="-1"/>
      <w:sz w:val="24"/>
      <w:szCs w:val="24"/>
      <w:effect w:val="none"/>
      <w:em w:val="none"/>
      <w:lang w:val="es-CO" w:eastAsia="es-ES" w:bidi="ar-SA"/>
    </w:rPr>
  </w:style>
  <w:style w:type="paragraph" w:styleId="Textoindependiente21">
    <w:name w:val="Texto independiente 21"/>
    <w:basedOn w:val="Normal1"/>
    <w:qFormat/>
    <w:pPr>
      <w:suppressAutoHyphens w:val="false"/>
      <w:spacing w:lineRule="auto" w:line="480"/>
      <w:jc w:val="both"/>
      <w:textAlignment w:val="top"/>
      <w:outlineLvl w:val="0"/>
    </w:pPr>
    <w:rPr>
      <w:rFonts w:ascii="Arial" w:hAnsi="Arial"/>
      <w:w w:val="100"/>
      <w:position w:val="-1"/>
      <w:sz w:val="20"/>
      <w:effect w:val="none"/>
      <w:em w:val="none"/>
      <w:lang w:val="es-ES" w:eastAsia="ar-SA" w:bidi="ar-SA"/>
    </w:rPr>
  </w:style>
  <w:style w:type="paragraph" w:styleId="Prueba">
    <w:name w:val="prueba"/>
    <w:basedOn w:val="Normal1"/>
    <w:qFormat/>
    <w:pPr>
      <w:suppressAutoHyphens w:val="true"/>
      <w:spacing w:lineRule="atLeast" w:line="1" w:beforeAutospacing="1" w:afterAutospacing="1"/>
      <w:ind w:firstLine="500"/>
      <w:jc w:val="both"/>
      <w:textAlignment w:val="baseline"/>
      <w:outlineLvl w:val="0"/>
    </w:pPr>
    <w:rPr>
      <w:rFonts w:ascii="Verdana" w:hAnsi="Verdana"/>
      <w:color w:val="000066"/>
      <w:w w:val="100"/>
      <w:position w:val="-1"/>
      <w:sz w:val="21"/>
      <w:szCs w:val="21"/>
      <w:effect w:val="none"/>
      <w:em w:val="none"/>
      <w:lang w:val="es-CO" w:eastAsia="es-CO" w:bidi="ar-SA"/>
    </w:rPr>
  </w:style>
  <w:style w:type="paragraph" w:styleId="Textoindependiente2">
    <w:name w:val="Texto independiente 2"/>
    <w:basedOn w:val="Normal1"/>
    <w:qFormat/>
    <w:pPr>
      <w:suppressAutoHyphens w:val="true"/>
      <w:spacing w:lineRule="auto" w:line="480"/>
      <w:jc w:val="both"/>
      <w:textAlignment w:val="top"/>
      <w:outlineLvl w:val="0"/>
    </w:pPr>
    <w:rPr>
      <w:rFonts w:ascii="Arial" w:hAnsi="Arial"/>
      <w:w w:val="100"/>
      <w:position w:val="-1"/>
      <w:sz w:val="20"/>
      <w:effect w:val="none"/>
      <w:em w:val="none"/>
      <w:lang w:val="es-ES" w:eastAsia="es-E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Text">
    <w:name w:val="Footnote Text"/>
    <w:basedOn w:val="Normal"/>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 w:type="table" w:styleId="Tablaconcuadrícula">
    <w:name w:val="Tabla con cuadrícula"/>
    <w:basedOn w:val="Tablanorma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rua.ua.es/dspace/bitstream/10045/854/1/llinares-cibem-05.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W1l6q8e0vxZcj6Do1ZaOQc6OCA==">AMUW2mUJW3VpocafipicjXiTGhrU9iVkc5xq8VkyKNvMyWVyU7CgGK6i5he4Xm8pJ9HoQU/jd/rstzBij0MlIxcu+RiI3qjyQEVvLfxHWnUW4MAGSNaG1xVJurXhTHplGY4jwbYiMJQMHIzmwsCw6VDFZVzRRfmVAkUFmOc8bd+RZbq9/cxzv0eXqN5VgKWAsIeE8KT+nueLU88y02381cK0Xltp2l0Z2pdwK33oNKVARF5tYbNHp1rkUEG9XFhKXUienNibfZKhh5HvIbMhcXAY9HGo0r6QOcddOJ5tNFHbvn0O0ErV6nsRlgSN/sXCEKP5zWXjjV/BHc4BLG0UqJDBi5XuXE8lnolB/Dn4JazqGGq/DdtLZ1FETOJZXT79HfXYjD8Rw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115</TotalTime>
  <Application>LibreOffice/24.2.0.3$Linux_X86_64 LibreOffice_project/a9077e3fef0a06cb428c7a740a03f33bf70ac6ee</Application>
  <AppVersion>15.0000</AppVersion>
  <Pages>8</Pages>
  <Words>2003</Words>
  <Characters>11980</Characters>
  <CharactersWithSpaces>13825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2022-03-22T22:04:00Z</dcterms:created>
  <dc:creator>VICERRECTORÍA DE DOCENCIA</dc:creator>
  <dc:description/>
  <dc:language>es-CO</dc:language>
  <cp:lastModifiedBy/>
  <dcterms:modified xsi:type="dcterms:W3CDTF">2024-02-20T10:18:14Z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