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pPr w:vertAnchor="page" w:horzAnchor="margin" w:leftFromText="141" w:rightFromText="141" w:tblpX="0" w:tblpY="646"/>
        <w:tblW w:w="1048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17"/>
        <w:gridCol w:w="9067"/>
      </w:tblGrid>
      <w:tr>
        <w:trPr>
          <w:trHeight w:val="981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 w:val="20"/>
              </w:rPr>
            </w:pPr>
            <w:r>
              <w:rPr/>
              <w:drawing>
                <wp:inline distT="0" distB="0" distL="0" distR="0">
                  <wp:extent cx="525145" cy="685800"/>
                  <wp:effectExtent l="0" t="0" r="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>
            <w:pPr>
              <w:pStyle w:val="Normal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>
        <w:trPr>
          <w:trHeight w:val="555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22"/>
        <w:gridCol w:w="1134"/>
        <w:gridCol w:w="1248"/>
        <w:gridCol w:w="1445"/>
        <w:gridCol w:w="285"/>
        <w:gridCol w:w="51"/>
        <w:gridCol w:w="1932"/>
        <w:gridCol w:w="2977"/>
      </w:tblGrid>
      <w:tr>
        <w:trPr>
          <w:trHeight w:val="34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INFORMACIÓN GENERAL </w:t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Nombre del curso: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B62D7A5096F64F96B104A6E8617B8616"/>
                </w:placeholder>
                <w:id w:val="-1881623570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Seminario en didáctica de la aritmética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3804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 académico al que pertenece:</w:t>
            </w:r>
          </w:p>
        </w:tc>
        <w:tc>
          <w:tcPr>
            <w:tcW w:w="6690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7D78BE8594F04685B47111E0483C2C94"/>
                </w:placeholder>
                <w:id w:val="-1962957546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Licenciatura en matemáticas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Unidad académica: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438197D344C5402EA1FC1C7E966FDE06"/>
                </w:placeholder>
                <w:id w:val="-901286541"/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Facultad de Educación</w:t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Programa(s) académico(s) en los cuales se ofrece el curso:</w:t>
            </w:r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43C561B77ADA442D821DB7F490DDA86B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Escriba el nombre de los programa(s) académico(s).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Vigencia:</w:t>
            </w:r>
          </w:p>
        </w:tc>
        <w:tc>
          <w:tcPr>
            <w:tcW w:w="4163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CAA9E4CBA694421C837FB421A1DB61BD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2024-1, 2024 - 2</w:t>
                </w:r>
              </w:sdtContent>
            </w:sdt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Código curso: </w:t>
            </w:r>
          </w:p>
        </w:tc>
        <w:tc>
          <w:tcPr>
            <w:tcW w:w="297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85F8F1DE23F424083B1F297C6E46731"/>
                </w:placeholder>
                <w:text/>
              </w:sdtPr>
              <w:sdtContent>
                <w:r>
                  <w:rPr>
                    <w:rFonts w:eastAsia="Calibri" w:cs="Calibri" w:ascii="Calibri" w:hAnsi="Calibri"/>
                    <w:color w:val="222222"/>
                    <w:kern w:val="0"/>
                    <w:position w:val="0"/>
                    <w:sz w:val="24"/>
                    <w:sz w:val="24"/>
                    <w:szCs w:val="20"/>
                    <w:vertAlign w:val="baseline"/>
                    <w:lang w:val="es-ES" w:eastAsia="es-ES" w:bidi="ar-SA"/>
                  </w:rPr>
                </w:r>
                <w:r>
                  <w:rPr>
                    <w:rFonts w:eastAsia="Calibri" w:cs="Calibri" w:ascii="Calibri" w:hAnsi="Calibri"/>
                    <w:color w:val="222222"/>
                    <w:kern w:val="0"/>
                    <w:position w:val="0"/>
                    <w:sz w:val="24"/>
                    <w:sz w:val="24"/>
                    <w:szCs w:val="20"/>
                    <w:vertAlign w:val="baseline"/>
                    <w:lang w:val="es-ES" w:eastAsia="es-ES" w:bidi="ar-SA"/>
                  </w:rPr>
                  <w:t>2096232</w:t>
                </w:r>
              </w:sdtContent>
            </w:sdt>
          </w:p>
        </w:tc>
      </w:tr>
      <w:tr>
        <w:trPr>
          <w:trHeight w:val="926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71E8FE2C1B8343ED81B48F6663D5E95D"/>
                </w:placeholder>
                <w:id w:val="-155078980"/>
                <w:dropDownList>
                  <w:listItem w:displayText="Elija un elemento." w:value="Elija un elemento."/>
                  <w:listItem w:displayText="Obligatorio" w:value="Obligatorio"/>
                  <w:listItem w:displayText="Electivo" w:value="Electiv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</w:tc>
        <w:tc>
          <w:tcPr>
            <w:tcW w:w="3029" w:type="dxa"/>
            <w:gridSpan w:val="4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</w:tc>
        <w:tc>
          <w:tcPr>
            <w:tcW w:w="4909" w:type="dxa"/>
            <w:gridSpan w:val="2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B0160B4660A64041BB34C2A1DF5528EB"/>
                </w:placeholder>
                <w:id w:val="504714329"/>
                <w:dropDownList>
                  <w:listItem w:displayText="Elija un elemento." w:value="Elija un elemento."/>
                  <w:listItem w:displayText="Básico" w:value="Básico"/>
                  <w:listItem w:displayText="Profesional" w:value="Profesional"/>
                  <w:listItem w:displayText="Complementario" w:value="Complementario"/>
                  <w:listItem w:displayText="Regular (Posgrado)" w:value="Regular (Posgrado)"/>
                  <w:listItem w:displayText="Intensivo (Posgrado)" w:value="Intensivo (Posgrado)"/>
                  <w:listItem w:displayText="Dirigido (Posgrado)" w:value="Dirigido (Posgrado)"/>
                  <w:listItem w:displayText="Otro" w:value="Otr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rFonts w:ascii="Calibri" w:hAnsi="Calibri"/>
              </w:rPr>
            </w:pPr>
            <w:sdt>
              <w:sdtPr>
                <w:placeholder>
                  <w:docPart w:val="C0323C39D982473C9C1CF2402638D713"/>
                </w:placeholder>
                <w:text/>
              </w:sdtPr>
              <w:sdtContent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</w:r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  <w:t>En caso de elegir “Otro”, indique cuál.</w:t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 xml:space="preserve"> </w:t>
                  <w:br/>
                </w:r>
              </w:sdtContent>
            </w:sdt>
          </w:p>
          <w:p>
            <w:pPr>
              <w:pStyle w:val="Normal"/>
              <w:widowControl/>
              <w:spacing w:before="0" w:after="160"/>
              <w:contextualSpacing/>
              <w:jc w:val="left"/>
              <w:rPr>
                <w:rFonts w:ascii="Calibri" w:hAnsi="Calibri" w:eastAsia="Calibri" w:cs="Calibri"/>
                <w:b/>
                <w:bCs/>
                <w:color w:themeColor="text1" w:val="000000"/>
                <w:sz w:val="20"/>
                <w:lang w:val="es-CO"/>
              </w:rPr>
            </w:pPr>
            <w:r>
              <w:rPr>
                <w:rFonts w:eastAsia="Calibri" w:cs="Calibri" w:ascii="Calibri" w:hAnsi="Calibri"/>
                <w:b/>
                <w:bCs/>
                <w:color w:themeColor="text1" w:val="000000"/>
                <w:kern w:val="0"/>
                <w:sz w:val="20"/>
                <w:szCs w:val="20"/>
                <w:lang w:val="es-CO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Características del curso: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  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Validable </w:t>
            </w:r>
            <w:sdt>
              <w:sdtPr>
                <w:id w:val="-838234114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Habilitable </w:t>
            </w:r>
            <w:sdt>
              <w:sdtPr>
                <w:id w:val="996617153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Calibri" w:ascii="MS Gothic" w:hAnsi="MS Gothic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Clasificable </w:t>
            </w:r>
            <w:sdt>
              <w:sdtPr>
                <w:id w:val="57186876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Evaluación de suficiencia (posgrado)</w:t>
            </w:r>
            <w:r>
              <w:rPr>
                <w:rFonts w:eastAsia="Times New Roman" w:cs="Calibri" w:ascii="Calibri" w:hAnsi="Calibri"/>
                <w:smallCaps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id w:val="-1107801938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647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Modalidad educativa del curso:    </w:t>
            </w:r>
            <w:sdt>
              <w:sdtPr>
                <w:placeholder>
                  <w:docPart w:val="1362614931A74269A0D09CDFF64F91AE"/>
                </w:placeholder>
                <w:id w:val="-517620791"/>
                <w:dropDownList>
                  <w:listItem w:displayText="Elija un elemento."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a" w:value="Otra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  <w:t>Presencial</w:t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sdt>
              <w:sdtPr>
                <w:placeholder>
                  <w:docPart w:val="0B536E72300B478E836080E24E7FE1D7"/>
                </w:placeholder>
                <w:id w:val="17920583"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En caso de elegir “Otra”, indique cuál.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Nombre del área, núcleo o componente de la organización curricular a la que pertenece el curso: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Prerrequisitos: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32D6B260D95A4B39B82989E527D6596C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Prerrequisitos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Correquisitos: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A17C730F891410E979991D135B7EE10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Correquisitos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Número de créditos académicos (Acuerdo Académico 576 de marzo de 2021):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2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F1D1774FF2A04B08A43683159AF1FA9C"/>
                </w:placeholder>
                <w:id w:val="-2032248436"/>
                <w:showingPlcHdr/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interacción estudiante-profesor: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3"/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6C219CB9CB3E4FCCB23DCA005413741D"/>
                </w:placeholder>
                <w:id w:val="-211974727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trabajo independiente: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695B84140CCB4BCE85DD46F9BF78EB2A"/>
                </w:placeholder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del curso: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061D1506BF0241E685F70FF689CBCF41"/>
                </w:placeholder>
                <w:id w:val="-876316229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Número (suma de las horas de interacción estudiante-profesor y de trabajo independiente).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teóricas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4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27EE9E9930094F388BD19C9630602FE4"/>
                </w:placeholder>
                <w:id w:val="1265809342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prácticas: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F7481A5E57C1465FAB531476BE7C6637"/>
                </w:placeholder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teórico-prácticas: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32D5647E08BB4071BC9F5D391CE1D9AC"/>
                </w:placeholder>
                <w:id w:val="1788384500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RELACIONES CON EL PERFIL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>
        <w:trPr>
          <w:trHeight w:val="737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>Sólida formación académica resultado de la imbricación entre los saberes disciplinares, didácticos y pedagógicos.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Apropiación de epistemologías, teorías y metodologías de investigación en Educación Matemática, que le posibiliten desempeñarse de manera asertiva, prospectiva y crítica en los procesos de enseñanza de las matemáticas en los diversos contextos educativos (escolares y no escolares).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Reconocimiento de sí mismo como un ser ético, estético y político para contribuir a las transformaciones sociales.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Reconocimiento del papel de la Educación Matemática en la formación de seres humanos críticos y reflexivos.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Convicción de que su formación como profesor es un proceso continuo. Proceso que se fortalece a través de la reflexión antes, durante y después de su práctica pedagógica; proceso que se fortalece también desde su aproximación constante a fuentes epistemológicas, teóricas y metodológicas, y desde el trabajo colaborativo con pares académicos.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Compromiso con los procesos de reflexión y de investigación sobre la enseñanza y el aprendizaje de las matemáticas, en diversos contextos escolares y no escolares.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Profesional de la educación matemática que se desempeñe como consultor y asesor capaz de diseñar, gestionar y evaluar propuestas, programas, planes y proyectos educativos, pedagógicos, didácticos y curriculares, disciplinares e interdisciplinares en diversos contextos escolares y no escolares.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Profesional de la educación matemática capaz de participar en redes y comunidades académicas e investigativas (nacionales o internacionales) de producción científica abierta.</w:t>
            </w:r>
          </w:p>
          <w:p>
            <w:pPr>
              <w:pStyle w:val="Normal"/>
              <w:rPr>
                <w:shd w:fill="1E1E1E" w:val="clear"/>
              </w:rPr>
            </w:pPr>
            <w:r>
              <w:rPr>
                <w:shd w:fill="1E1E1E" w:val="clear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>Resultados de aprendizaje: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hanging="0" w:left="0" w:right="0"/>
              <w:rPr>
                <w:shd w:fill="1E1E1E" w:val="clear"/>
              </w:rPr>
            </w:pPr>
            <w:r>
              <w:rPr>
                <w:color w:val="6796E6"/>
                <w:shd w:fill="1E1E1E" w:val="clear"/>
              </w:rPr>
              <w:t>*</w:t>
            </w:r>
            <w:r>
              <w:rPr>
                <w:color w:val="D4D4D4"/>
                <w:shd w:fill="1E1E1E" w:val="clear"/>
              </w:rPr>
              <w:t xml:space="preserve"> Comprender los fundamentos teóricos y metodológicos de las matemáticas, su historia y su didáctica, para diseñar propuestas educativas que promuevan el pensamiento matemático de los estudiantes en la educación básica, media y terciaria. </w:t>
            </w:r>
          </w:p>
          <w:p>
            <w:pPr>
              <w:pStyle w:val="Normal"/>
              <w:ind w:hanging="0" w:left="0" w:right="0"/>
              <w:rPr>
                <w:shd w:fill="1E1E1E" w:val="clear"/>
              </w:rPr>
            </w:pPr>
            <w:r>
              <w:rPr>
                <w:color w:val="6796E6"/>
                <w:shd w:fill="1E1E1E" w:val="clear"/>
              </w:rPr>
              <w:t>*</w:t>
            </w:r>
            <w:r>
              <w:rPr>
                <w:color w:val="D4D4D4"/>
                <w:shd w:fill="1E1E1E" w:val="clear"/>
              </w:rPr>
              <w:t xml:space="preserve"> Interpretar los diferentes marcos epistemológicos, metodológicos, políticos, éticos y estéticos relativos a la educación matemática como campo de saberes y prácticas, a partir de los cuales desarrolla una discusión situada sobre problemas de la profesión y la toma de decisiones en su práctica profesional.</w:t>
            </w:r>
          </w:p>
          <w:p>
            <w:pPr>
              <w:pStyle w:val="Normal"/>
              <w:ind w:hanging="0" w:left="0" w:right="0"/>
              <w:rPr>
                <w:shd w:fill="1E1E1E" w:val="clear"/>
              </w:rPr>
            </w:pPr>
            <w:r>
              <w:rPr>
                <w:color w:val="6796E6"/>
                <w:shd w:fill="1E1E1E" w:val="clear"/>
              </w:rPr>
              <w:t>*</w:t>
            </w:r>
            <w:r>
              <w:rPr>
                <w:color w:val="D4D4D4"/>
                <w:shd w:fill="1E1E1E" w:val="clear"/>
              </w:rPr>
              <w:t xml:space="preserve"> Conocer los problemas y paradigmas de investigación en educación matemática, para informar sus actuaciones en el ejercicio profesional.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 xml:space="preserve">Analizar críticamente elementos curriculares, sociales y políticos que configuran las prácticas en educación matemática en Colombia para la toma de decisiones en su práctica profesional. 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Investigar sobre las problemáticas de la enseñanza o el aprendizaje de las matemáticas en contextos específicos de práctica, y proponer soluciones innovadoras para promover el desarrollo del pensamiento matemático de los estudiantes.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Utilizar en su práctica profesional los conocimientos teóricos y metodológicos relacionados con las matemáticas, su historia, filosofía y epistemología de la educación.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Se posiciona críticamente frente a la política educativa nacional en educación matemática para analizar los problemas profesionales de las instituciones educativas y los sujetos.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Identificar en la pluralidad de saberes la diversidad de los estudiantes para diseñar propuestas educativas inclusivas.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INTENCIONALIDADES FORMATIVAS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elementos orientadores del curso de acuerdo con el diseño curricular del programa académico: problemas de formación, propósitos de formación, objetivos, capacidades, competencias u otros. Se escoge una o varias de las anteriores posibilidades de acuerdo con las formas de organización curricular del programa académico, que se declaran en el Proyecto Educativo de Programa.</w:t>
            </w:r>
          </w:p>
        </w:tc>
      </w:tr>
      <w:tr>
        <w:trPr>
          <w:trHeight w:val="791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1"/>
              <w:jc w:val="both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/>
                <w:position w:val="0"/>
                <w:sz w:val="24"/>
                <w:szCs w:val="22"/>
                <w:vertAlign w:val="baseline"/>
              </w:rPr>
              <w:t xml:space="preserve">Objetivo General del curso: </w:t>
            </w:r>
          </w:p>
          <w:p>
            <w:pPr>
              <w:pStyle w:val="Normal1"/>
              <w:jc w:val="both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/>
                <w:position w:val="0"/>
                <w:sz w:val="24"/>
                <w:szCs w:val="22"/>
                <w:vertAlign w:val="baseline"/>
              </w:rPr>
              <w:t>Desarrollar elementos teóricos y prácticos, que fundamenten rutas metodológicas de orden pedagógico y didáctico, relacionadas con procesos de enseñanza y aprendizaje de la aritmética en contextos escolares</w:t>
            </w:r>
            <w:r>
              <w:rPr>
                <w:position w:val="0"/>
                <w:sz w:val="24"/>
                <w:szCs w:val="22"/>
                <w:vertAlign w:val="baseline"/>
              </w:rPr>
              <w:t>.</w:t>
            </w:r>
          </w:p>
          <w:p>
            <w:pPr>
              <w:pStyle w:val="Normal1"/>
              <w:jc w:val="both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/>
            </w:r>
          </w:p>
          <w:p>
            <w:pPr>
              <w:pStyle w:val="Normal1"/>
              <w:rPr>
                <w:rFonts w:ascii="Calibri" w:hAnsi="Calibri" w:eastAsia="Calibri" w:cs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>Objetivos específicos: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Caracterizar conceptualmente los fundamentos teóricos para el desarrollo del pensamiento numérico desde un punto de vista escolar.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Revisar elementos conceptuales y metodológicos para la construcción del concepto de número y procesos de conteo.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Analizar diferentes tipos de problemas que contribuyen a la conceptualización del esquema aditivo y multiplicativo.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Dotar de significado las cantidades negativas y positivas de tal manera que ayuden a la comprensión de reglas procedimentales al resolver situaciones asociadas a los números enteros.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Analizar propuestas pedagógicas relacionadas con la enseñanza y aprendizaje de los números racionales desde un punto de vista escolar.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Generar procesos de reflexión desde el diseño e implementación de estrategias didácticas que vinculan actividades de enseñanza y aprendizaje para un contexto escolar específico.  </w:t>
            </w:r>
          </w:p>
          <w:p>
            <w:pPr>
              <w:pStyle w:val="Normal1"/>
              <w:widowControl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>Eje Problémico 1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.  Fundamentos teóricos sobre el desarrollo del pensamiento numérico en el contexto colombiano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Pregunta(s) orientadora(s): ¿Cuáles son los fundamentos del desarrollo de habilidades numéricas en el currículo de las matemáticas escolares en Colombia?</w:t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¿Cómo se caracteriza el pensamiento numérico en la escuela desde las propuestas curriculares del Ministerio de Educación Nacional?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No. de sesiones: 2 sesiones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Pensamiento numérico desde los documentos rectores emanados por el Ministerio de Educación Nacional (Lineamientos curriculares, estándares básicos de competencias, Derechos básicos de aprendizaje)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Reflexiones frente al aprendizaje del pensamiento numérico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La enseñanza del pensamiento numérico en la educación obligatoria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Eje Problémico 2.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Concepto de número y procesos de conteo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Pregunta orientadora: ¿Cómo influyen diferentes enfoques epistemológicos en la construcción del concepto de número?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708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No. de sesiones</w:t>
            </w: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: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4 sesiones.</w:t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Construcción histórica del concepto de número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Procesos de conteo y manejo del ábaco</w:t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Eje Problémico 3.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Aspectos conceptuales y metodológicos para desarrollar el esquema aditivo y esquema multiplicativo en la escuela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Preguntas orientadoras: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¿Cuáles son las relaciones fundamentales presentes en el desarrollo de esquema aditivo?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¿Cuáles son las relaciones fundamentales presentes en el desarrollo de esquema multiplicativo?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No. de sesiones</w:t>
            </w: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: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4 sesiones.</w:t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Estrategias didácticas para desarrollar el esquema aditivo y multiplicativo.</w:t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Eje Problémico 4. 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Los números enteros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708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Pregunta orientadora: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¿Cuáles son los elementos básicos desde un punto de vista conceptual que pueden orientar significados de los enteros desde situaciones escolares?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No. de sesiones</w:t>
            </w: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: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2 sesiones.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Significados de los números enteros y estrategias de enseñanza en el aula.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Eje Problémico 5. 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Números racionales, razones y proporciones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708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Preguntas orientadoras: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¿Qué conexión tienen los contextos de medida con las relaciones y procedimientos asociados a la resolución de problemas en contextos de los números racionales?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¿Cómo pasar del esquema multiplicativo a la solución de situaciones que desarrollen razonamiento proporcional?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No. de sesiones</w:t>
            </w: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: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2 sesiones.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Conceptualización del número racional.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Estrategias para la enseñanza en el aula de las diferentes representaciones del conjunto numérico: fracción, porcentaje, decimal y gráfico.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Eje Problémico 6. 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Análisis y reflexión a partir del diseño e implementación de actividades de aprendizaje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Pregunta orientadora: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¿Cómo articular elementos pedagógicos y didácticos en el diseño de situaciones de aprendizaje en torno al pensamiento numérico escolar?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No. de sesiones</w:t>
            </w: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: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2 sesiones.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Diseño, implementación y reflexión de una práctica relacionada con el pensamiento numérico en la escuela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APORTES DEL CURSO A LA FORMACIÓN INTEGRAL Y A LA FORMACIÓN EN INVESTIGACIÓN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>
        <w:trPr>
          <w:trHeight w:val="78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DESCRIPCIÓN DE LOS CONOCIMIENTOS Y/O SABERES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ejes problémicos, saberes, proyectos, contenidos o temas que se abordan en el desarrollo del curso. Se escoge una o varias de las posibilidades de acuerdo con las formas de organización curricular del programa académico.</w:t>
            </w:r>
          </w:p>
        </w:tc>
      </w:tr>
      <w:tr>
        <w:trPr>
          <w:trHeight w:val="764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METODOLOGÍA</w:t>
            </w:r>
            <w:r>
              <w:rPr>
                <w:rStyle w:val="FootnoteReference"/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footnoteReference w:id="5"/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algunos de los siguientes asuntos: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Estrategias didácticas: Aprendizaje Basado en Problemas (ABP) </w:t>
            </w:r>
            <w:sdt>
              <w:sdtPr>
                <w:id w:val="101227053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Basado en Proyectos (ABP) </w:t>
            </w:r>
            <w:sdt>
              <w:sdtPr>
                <w:id w:val="10636812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invertido </w:t>
            </w:r>
            <w:sdt>
              <w:sdtPr>
                <w:id w:val="327046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Aprendizaje Basado en Retos (ABR) </w:t>
            </w:r>
            <w:sdt>
              <w:sdtPr>
                <w:id w:val="33658148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Estudio de caso </w:t>
            </w:r>
            <w:sdt>
              <w:sdtPr>
                <w:id w:val="-8534237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Aprendizaje entre pares </w:t>
            </w:r>
            <w:sdt>
              <w:sdtPr>
                <w:id w:val="56052354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Clase magistral </w:t>
            </w:r>
            <w:sdt>
              <w:sdtPr>
                <w:id w:val="-77949808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MS Gothic" w:cs="Times New Roman" w:ascii="MS Gothic" w:hAnsi="MS Gothic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Salida de campo </w:t>
            </w:r>
            <w:sdt>
              <w:sdtPr>
                <w:id w:val="-1326056829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Taller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id w:val="-161266259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</w:t>
            </w:r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Otra(as), ¿cuál(es)? </w:t>
            </w:r>
            <w:sdt>
              <w:sdtPr>
                <w:id w:val="84444960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   </w:t>
            </w:r>
            <w:sdt>
              <w:sdtPr>
                <w:placeholder>
                  <w:docPart w:val="25A1DC85090D4295B61912927D19F9E9"/>
                </w:placeholder>
                <w:id w:val="1575464573"/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  <w:t>Escriba el nombre de la estrategia.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Describa brevemente la metodología (s) utilizada (s).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cstheme="minorHAnsi" w:ascii="Calibri" w:hAnsi="Calibri"/>
                <w:color w:themeColor="text1" w:val="000000"/>
                <w:kern w:val="0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/>
                <w:color w:themeColor="text1"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Cs w:val="24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Medios y recursos didácticos: 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Formas de interacción en los ambientes de aprendizaje y de acompañamiento del trabajo independiente del estudiante: 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de internacionalización del currículo que se desarrollan para cumplir con las intencionalidades formativas del microcurrículo: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para abordar o visibilizar la diversidad desde la perspectiva de género, el enfoque diferencial o el enfoque intercultural: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314"/>
        <w:gridCol w:w="5180"/>
      </w:tblGrid>
      <w:tr>
        <w:trPr>
          <w:trHeight w:val="244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ascii="Calibri" w:hAnsi="Calibri"/>
                <w:b/>
                <w:kern w:val="0"/>
                <w:lang w:val="es-ES" w:eastAsia="es-ES" w:bidi="ar-SA"/>
              </w:rPr>
              <w:t>EVALUACIÓN</w:t>
            </w:r>
            <w:r>
              <w:rPr>
                <w:rStyle w:val="FootnoteReference"/>
                <w:rFonts w:eastAsia="Times New Roman" w:ascii="Calibri" w:hAnsi="Calibri"/>
                <w:b/>
                <w:kern w:val="0"/>
                <w:lang w:val="es-ES" w:eastAsia="es-ES" w:bidi="ar-SA"/>
              </w:rPr>
              <w:footnoteReference w:id="6"/>
            </w:r>
          </w:p>
        </w:tc>
      </w:tr>
      <w:tr>
        <w:trPr>
          <w:trHeight w:val="338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Explicitar los siguientes asuntos:</w:t>
            </w:r>
          </w:p>
        </w:tc>
      </w:tr>
      <w:tr>
        <w:trPr>
          <w:trHeight w:val="651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Concepción de evaluación, modalidades (auto, co, hetero evaluación y evaluación entre pares) y estrategias a través de las cuales se va a orientar.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776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Procesos y resultados de aprendizaje del </w:t>
            </w:r>
            <w:r>
              <w:rPr>
                <w:rFonts w:eastAsia="Times New Roman" w:cs="Times New Roman" w:ascii="Calibri" w:hAnsi="Calibri"/>
                <w:kern w:val="0"/>
                <w:szCs w:val="20"/>
                <w:u w:val="single"/>
                <w:lang w:val="es-ES" w:eastAsia="es-ES" w:bidi="ar-SA"/>
              </w:rPr>
              <w:t>Programa Académico</w:t>
            </w: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 que se abordan en el curso (según el Acuerdo Académico 583 de 2021 y la Política Institucional).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7"/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889" w:hRule="atLeast"/>
        </w:trPr>
        <w:tc>
          <w:tcPr>
            <w:tcW w:w="10494" w:type="dxa"/>
            <w:gridSpan w:val="2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Momentos y/o productos de la evaluación del curso y sus respectivos porcentajes.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8"/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Momentos de evaluación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Porcentajes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1 (primer mes de clase)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asistencia, atención y participación, quiz y un parcial 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2 (Segundo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3 (Tercer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4 (Cuarto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60"/>
        <w:gridCol w:w="4111"/>
        <w:gridCol w:w="3119"/>
      </w:tblGrid>
      <w:tr>
        <w:trPr>
          <w:trHeight w:val="300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BIBLIOGRAFÍA Y OTRAS FUENTES</w:t>
            </w:r>
          </w:p>
        </w:tc>
      </w:tr>
      <w:tr>
        <w:trPr>
          <w:trHeight w:val="244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Incluir solo la bibliografía que se requiere para el desarrollo del curso; además, presentar los textos en otras lenguas o traducciones que se trabajan en clase, en atención a las culturas o zonas geográficas de las que estos provienen.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Bibliografía/fuente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Palabras claves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kern w:val="0"/>
                <w:sz w:val="22"/>
                <w:szCs w:val="22"/>
                <w:shd w:fill="1E1E1E" w:val="clear"/>
                <w:lang w:val="es-ES" w:eastAsia="es-ES" w:bidi="ar-SA"/>
              </w:rPr>
            </w:pPr>
            <w:r>
              <w:rPr>
                <w:rFonts w:eastAsia="Times New Roman" w:cs="Calibri" w:cstheme="minorHAnsi" w:ascii="Calibri" w:hAnsi="Calibri"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 xml:space="preserve">Aylwin, C. U. (2011). Lógica, conjuntos y números. </w:t>
            </w:r>
            <w:r>
              <w:rPr>
                <w:rFonts w:eastAsia="Times New Roman" w:cs="Calibri" w:cstheme="minorHAnsi" w:ascii="Calibri" w:hAnsi="Calibri"/>
                <w:i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>Universidad de los Andes, Consejo de Publicaciones, Colección: Ciencias Básicas, Serie: Matemáticas</w:t>
            </w:r>
            <w:r>
              <w:rPr>
                <w:rFonts w:eastAsia="Times New Roman" w:cs="Calibri" w:cstheme="minorHAnsi" w:ascii="Calibri" w:hAnsi="Calibri"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>.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519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31"/>
        <w:gridCol w:w="3686"/>
        <w:gridCol w:w="3402"/>
      </w:tblGrid>
      <w:tr>
        <w:trPr>
          <w:trHeight w:val="300" w:hRule="atLeast"/>
        </w:trPr>
        <w:tc>
          <w:tcPr>
            <w:tcW w:w="1051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COMUNIDAD ACADÉMICA QUE PARTICIPÓ EN LA ELABORACIÓN DEL MICROCURRÍCULO</w:t>
            </w:r>
          </w:p>
        </w:tc>
      </w:tr>
      <w:tr>
        <w:trPr>
          <w:trHeight w:val="244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Nombres y apellidos</w:t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Unidad académica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Formación académica</w:t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88"/>
        <w:gridCol w:w="3261"/>
        <w:gridCol w:w="283"/>
        <w:gridCol w:w="709"/>
        <w:gridCol w:w="942"/>
        <w:gridCol w:w="1467"/>
        <w:gridCol w:w="285"/>
        <w:gridCol w:w="2975"/>
        <w:gridCol w:w="284"/>
      </w:tblGrid>
      <w:tr>
        <w:trPr>
          <w:trHeight w:val="300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APROBACIÓN DEL CONSEJO DE UNIDAD ACADÉMICA</w:t>
            </w:r>
          </w:p>
        </w:tc>
      </w:tr>
      <w:tr>
        <w:trPr>
          <w:trHeight w:val="244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Aprobado en Acta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B21BCC4AD4CF4B038C118EB577136EBC"/>
                </w:placeholder>
                <w:id w:val="-120138932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del  </w:t>
            </w:r>
            <w:sdt>
              <w:sdtPr>
                <w:placeholder>
                  <w:docPart w:val="41B41E250F9647F6B92EA39F568FB82C"/>
                </w:placeholder>
                <w:id w:val="-2022155824"/>
                <w:showingPlcHdr/>
                <w:date>
                  <w:dateFormat w:val="dd' de 'MMMM' de 'yyyy"/>
                  <w:lid w:val="es-CO"/>
                </w:date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Haga clic aquí o pulse para escribir una fecha.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764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 completo del Secretario del Consejo de la Unidad Académica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Firma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 w:cs="Arial"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851" w:right="851" w:gutter="0" w:header="567" w:top="1134" w:footer="567" w:bottom="85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egoe UI Symbol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7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7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7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7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créditos de la Universidad de Antioquia se puede consultar en el siguiente enlace: </w:t>
      </w:r>
      <w:hyperlink r:id="rId1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https://www.udea.edu.co/wps/portal/udea/web/inicio/docencia</w:t>
        </w:r>
      </w:hyperlink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</w:p>
  </w:footnote>
  <w:footnote w:id="3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Verificar que la sumatoria de las horas de interacción estudiante-profesor, más las horas de trabajo independiente divididas por 48, sea igual al número de créditos del curso.</w:t>
      </w:r>
    </w:p>
  </w:footnote>
  <w:footnote w:id="4">
    <w:p>
      <w:pPr>
        <w:pStyle w:val="FootnoteText"/>
        <w:rPr>
          <w:lang w:val="es-MX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El total de horas totales de actividades académicas teóricas, prácticas y teórico-prácticas serán iguales a las horas totales de interacción estudiante-profesor</w:t>
      </w:r>
    </w:p>
  </w:footnote>
  <w:footnote w:id="5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Para efectos de la preparación y desarrollo de las clases, se sugiere considerar el cuadro anexo de planeación didáctica que acompaña este formato.</w:t>
      </w:r>
    </w:p>
  </w:footnote>
  <w:footnote w:id="6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De acuerdo con el Artículo 79 del Reglamento Estudiantil de Pregrado: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además, en el Artículo 94 se indica que en todos los cursos se deben realizar dos o tres evaluaciones para cumplir con las intencionalidades formativas del microcurrículo; finalmente, los artículos 95 y 96 señalan que, para el desarrollo de evaluaciones parciales o finales, se pueden incluir trabajos de investigación como formas de valoración de los aprendizajes.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7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Procesos y Resultados de Aprendizaje de la Universidad de Antioquia se puede consultar en el siguiente enlace: </w:t>
      </w:r>
      <w:hyperlink r:id="rId2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https://bit.ly/3S47HDV</w:t>
        </w:r>
      </w:hyperlink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</w:p>
  </w:footnote>
  <w:footnote w:id="8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pregrado, de conformidad con el Artículo 78 del Reglamento Estudiantil de Pregrado, cuando las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faltas de asistencia registradas superen el 20 %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.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posgrados, de conformidad con el Artículo 30 del Acuerdo Superior 432 de 2014, cuando un estudiante supere el 30 % de las faltas de asistencia en un curso, sin causa justificable legalmente, reprobará por inasistencia y se calificará con una nota de cero, cero (0.0).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Normal"/>
            <w:jc w:val="center"/>
            <w:rPr>
              <w:color w:val="6796E6"/>
              <w:shd w:fill="1E1E1E" w:val="clear"/>
            </w:rPr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Normal"/>
            <w:jc w:val="center"/>
            <w:rPr>
              <w:color w:val="6796E6"/>
              <w:shd w:fill="1E1E1E" w:val="clear"/>
            </w:rPr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0a1400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semiHidden/>
    <w:qFormat/>
    <w:rsid w:val="000a1400"/>
    <w:rPr>
      <w:rFonts w:ascii="Arial" w:hAnsi="Arial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0a1400"/>
    <w:rPr>
      <w:rFonts w:ascii="Arial" w:hAnsi="Arial"/>
      <w:b/>
      <w:bCs/>
    </w:rPr>
  </w:style>
  <w:style w:type="character" w:styleId="TextodegloboCar" w:customStyle="1">
    <w:name w:val="Texto de globo Car"/>
    <w:link w:val="BalloonText"/>
    <w:uiPriority w:val="99"/>
    <w:semiHidden/>
    <w:qFormat/>
    <w:rsid w:val="000a140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Header"/>
    <w:uiPriority w:val="99"/>
    <w:qFormat/>
    <w:rsid w:val="00f21e80"/>
    <w:rPr>
      <w:rFonts w:ascii="Arial" w:hAnsi="Arial"/>
      <w:sz w:val="24"/>
    </w:rPr>
  </w:style>
  <w:style w:type="character" w:styleId="PiedepginaCar" w:customStyle="1">
    <w:name w:val="Pie de página Car"/>
    <w:link w:val="Footer"/>
    <w:uiPriority w:val="99"/>
    <w:qFormat/>
    <w:rsid w:val="00f21e80"/>
    <w:rPr>
      <w:rFonts w:ascii="Arial" w:hAnsi="Arial"/>
      <w:sz w:val="24"/>
    </w:rPr>
  </w:style>
  <w:style w:type="character" w:styleId="TextonotaalfinalCar" w:customStyle="1">
    <w:name w:val="Texto nota al final Car"/>
    <w:link w:val="EndnoteText"/>
    <w:uiPriority w:val="99"/>
    <w:semiHidden/>
    <w:qFormat/>
    <w:rsid w:val="00f21e80"/>
    <w:rPr>
      <w:rFonts w:ascii="Arial" w:hAnsi="Arial"/>
    </w:rPr>
  </w:style>
  <w:style w:type="character" w:styleId="EndnoteCharacters">
    <w:name w:val="Endnote Characters"/>
    <w:uiPriority w:val="99"/>
    <w:semiHidden/>
    <w:unhideWhenUsed/>
    <w:qFormat/>
    <w:rsid w:val="00f21e8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f910c2"/>
    <w:rPr>
      <w:color w:val="808080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48506d"/>
    <w:rPr>
      <w:rFonts w:ascii="Arial" w:hAnsi="Aria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8506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themeColor="hyperlink"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a401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a1400"/>
    <w:pPr/>
    <w:rPr>
      <w:sz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1400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1400"/>
    <w:pPr/>
    <w:rPr>
      <w:rFonts w:ascii="Tahoma" w:hAnsi="Tahoma"/>
      <w:sz w:val="16"/>
      <w:szCs w:val="16"/>
      <w:lang w:val="x-none" w:eastAsia="x-none"/>
    </w:rPr>
  </w:style>
  <w:style w:type="paragraph" w:styleId="Revision">
    <w:name w:val="Revision"/>
    <w:uiPriority w:val="99"/>
    <w:semiHidden/>
    <w:qFormat/>
    <w:rsid w:val="00835be4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Footer">
    <w:name w:val="Footer"/>
    <w:basedOn w:val="Normal"/>
    <w:link w:val="Piedepgina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1e80"/>
    <w:pPr/>
    <w:rPr>
      <w:sz w:val="20"/>
      <w:lang w:val="x-none" w:eastAsia="x-none"/>
    </w:rPr>
  </w:style>
  <w:style w:type="paragraph" w:styleId="Estilo" w:customStyle="1">
    <w:name w:val="Estilo"/>
    <w:qFormat/>
    <w:rsid w:val="00820c97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CO" w:eastAsia="es-CO" w:bidi="ar-SA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48506d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65ffb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udea.edu.co/wps/portal/udea/web/inicio/docencia" TargetMode="External"/><Relationship Id="rId2" Type="http://schemas.openxmlformats.org/officeDocument/2006/relationships/hyperlink" Target="https://bit.ly/3S47HDV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D63A779CB8CD4039A818C326D107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695D-82AD-4340-9C3C-DB5CB90BC5B3}"/>
      </w:docPartPr>
      <w:docPartBody>
        <w:p w:rsidR="000A0B58" w:rsidRDefault="00716160" w:rsidP="00716160">
          <w:pPr>
            <w:pStyle w:val="D63A779CB8CD4039A818C326D107B72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8197D344C5402EA1FC1C7E966F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68B6-9F8A-468C-A7C4-BAFCAA1A49B9}"/>
      </w:docPartPr>
      <w:docPartBody>
        <w:p w:rsidR="000A0B58" w:rsidRDefault="00716160" w:rsidP="00716160">
          <w:pPr>
            <w:pStyle w:val="438197D344C5402EA1FC1C7E966FDE06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C561B77ADA442D821DB7F490DD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142E-578C-43E7-B0AD-043DCD07ED24}"/>
      </w:docPartPr>
      <w:docPartBody>
        <w:p w:rsidR="000A0B58" w:rsidRDefault="00716160" w:rsidP="00716160">
          <w:pPr>
            <w:pStyle w:val="43C561B77ADA442D821DB7F490DDA86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AA9E4CBA694421C837FB421A1DB6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779C-1004-44CF-B0EB-3D687039B16A}"/>
      </w:docPartPr>
      <w:docPartBody>
        <w:p w:rsidR="000A0B58" w:rsidRDefault="00716160" w:rsidP="00716160">
          <w:pPr>
            <w:pStyle w:val="CAA9E4CBA694421C837FB421A1DB61BD"/>
          </w:pPr>
          <w:r>
            <w:rPr>
              <w:rStyle w:val="Textodelmarcadordeposicin"/>
              <w:rFonts w:ascii="Calibri" w:hAnsi="Calibri"/>
            </w:rPr>
            <w:t>Semestre o Cohorte</w:t>
          </w:r>
        </w:p>
      </w:docPartBody>
    </w:docPart>
    <w:docPart>
      <w:docPartPr>
        <w:name w:val="285F8F1DE23F424083B1F297C6E46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E7AC-84B9-4205-8086-178010C2FF16}"/>
      </w:docPartPr>
      <w:docPartBody>
        <w:p w:rsidR="000A0B58" w:rsidRDefault="00716160" w:rsidP="00716160">
          <w:pPr>
            <w:pStyle w:val="285F8F1DE23F424083B1F297C6E46731"/>
          </w:pPr>
          <w:r>
            <w:rPr>
              <w:rStyle w:val="Textodelmarcadordeposicin"/>
              <w:rFonts w:ascii="Calibri" w:hAnsi="Calibri"/>
            </w:rPr>
            <w:t>Código curso en MARES</w:t>
          </w:r>
        </w:p>
      </w:docPartBody>
    </w:docPart>
    <w:docPart>
      <w:docPartPr>
        <w:name w:val="71E8FE2C1B8343ED81B48F6663D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BC4F-4E25-494C-A3F8-C79237161066}"/>
      </w:docPartPr>
      <w:docPartBody>
        <w:p w:rsidR="000A0B58" w:rsidRDefault="00716160" w:rsidP="00716160">
          <w:pPr>
            <w:pStyle w:val="71E8FE2C1B8343ED81B48F6663D5E95D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B0160B4660A64041BB34C2A1DF55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2FA-CD8D-430C-A84E-7F06DE5ED07D}"/>
      </w:docPartPr>
      <w:docPartBody>
        <w:p w:rsidR="000A0B58" w:rsidRDefault="00716160" w:rsidP="00716160">
          <w:pPr>
            <w:pStyle w:val="B0160B4660A64041BB34C2A1DF5528EB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9720B76D6F2C4239A44A68E5257B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3826-6F2A-4154-9CC2-53F1EB5651DB}"/>
      </w:docPartPr>
      <w:docPartBody>
        <w:p w:rsidR="000A0B58" w:rsidRDefault="00716160" w:rsidP="00716160">
          <w:pPr>
            <w:pStyle w:val="9720B76D6F2C4239A44A68E5257BACCF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0323C39D982473C9C1CF240263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6F3F-508D-4728-9EFA-894CC9ABA0E3}"/>
      </w:docPartPr>
      <w:docPartBody>
        <w:p w:rsidR="000A0B58" w:rsidRDefault="00716160" w:rsidP="00716160">
          <w:pPr>
            <w:pStyle w:val="C0323C39D982473C9C1CF2402638D713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1362614931A74269A0D09CDFF64F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B57B-3639-41EC-A8A1-EFDC96A6A2B4}"/>
      </w:docPartPr>
      <w:docPartBody>
        <w:p w:rsidR="000A0B58" w:rsidRDefault="00716160" w:rsidP="00716160">
          <w:pPr>
            <w:pStyle w:val="1362614931A74269A0D09CDFF64F91AE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501B2559B7E42489220444E5845A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A6B5-947C-498A-99E0-FEB025BE788E}"/>
      </w:docPartPr>
      <w:docPartBody>
        <w:p w:rsidR="000A0B58" w:rsidRDefault="00716160" w:rsidP="00716160">
          <w:pPr>
            <w:pStyle w:val="F501B2559B7E42489220444E5845A4DE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B536E72300B478E836080E24E7F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7010-A185-476F-AD72-D204F52F463E}"/>
      </w:docPartPr>
      <w:docPartBody>
        <w:p w:rsidR="000A0B58" w:rsidRDefault="00716160" w:rsidP="00716160">
          <w:pPr>
            <w:pStyle w:val="0B536E72300B478E836080E24E7FE1D7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32D6B260D95A4B39B82989E527D6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9C46-27C9-4D0D-A7A4-461FC048ADDE}"/>
      </w:docPartPr>
      <w:docPartBody>
        <w:p w:rsidR="000A0B58" w:rsidRDefault="00716160" w:rsidP="00716160">
          <w:pPr>
            <w:pStyle w:val="32D6B260D95A4B39B82989E527D6596C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A17C730F891410E979991D135B7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A1D0-0985-4D87-B482-55587F608F0E}"/>
      </w:docPartPr>
      <w:docPartBody>
        <w:p w:rsidR="000A0B58" w:rsidRDefault="00716160" w:rsidP="00716160">
          <w:pPr>
            <w:pStyle w:val="2A17C730F891410E979991D135B7EE1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1D1774FF2A04B08A43683159AF1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2421-FA23-476E-9CC1-F19D3DAFAB97}"/>
      </w:docPartPr>
      <w:docPartBody>
        <w:p w:rsidR="000A0B58" w:rsidRDefault="00716160" w:rsidP="00716160">
          <w:pPr>
            <w:pStyle w:val="F1D1774FF2A04B08A43683159AF1FA9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C219CB9CB3E4FCCB23DCA005413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98871-0713-48D1-9DF4-E763153CE8BD}"/>
      </w:docPartPr>
      <w:docPartBody>
        <w:p w:rsidR="000A0B58" w:rsidRDefault="00716160" w:rsidP="00716160">
          <w:pPr>
            <w:pStyle w:val="6C219CB9CB3E4FCCB23DCA005413741D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95B84140CCB4BCE85DD46F9BF78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4B95-178C-46FA-86B4-7A55CD14BA84}"/>
      </w:docPartPr>
      <w:docPartBody>
        <w:p w:rsidR="000A0B58" w:rsidRDefault="00716160" w:rsidP="00716160">
          <w:pPr>
            <w:pStyle w:val="695B84140CCB4BCE85DD46F9BF78EB2A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27EE9E9930094F388BD19C963060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6071-3115-4E29-82D6-10A3C0B3EC09}"/>
      </w:docPartPr>
      <w:docPartBody>
        <w:p w:rsidR="000A0B58" w:rsidRDefault="00716160" w:rsidP="00716160">
          <w:pPr>
            <w:pStyle w:val="27EE9E9930094F388BD19C9630602FE4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F7481A5E57C1465FAB531476BE7C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AC64-97B3-4974-98D4-D3822389CAF0}"/>
      </w:docPartPr>
      <w:docPartBody>
        <w:p w:rsidR="000A0B58" w:rsidRDefault="00716160" w:rsidP="00716160">
          <w:pPr>
            <w:pStyle w:val="F7481A5E57C1465FAB531476BE7C6637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32D5647E08BB4071BC9F5D391CE1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6AE60-90B8-4B93-9D20-8B325ED14E96}"/>
      </w:docPartPr>
      <w:docPartBody>
        <w:p w:rsidR="000A0B58" w:rsidRDefault="00716160" w:rsidP="00716160">
          <w:pPr>
            <w:pStyle w:val="32D5647E08BB4071BC9F5D391CE1D9A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997AE7767C134A8B9D9A35581053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9F64-90AC-4648-B8D7-08C808C8AF8D}"/>
      </w:docPartPr>
      <w:docPartBody>
        <w:p w:rsidR="000A0B58" w:rsidRDefault="00716160" w:rsidP="00716160">
          <w:pPr>
            <w:pStyle w:val="997AE7767C134A8B9D9A355810532BB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5A1DC85090D4295B61912927D19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BD14-831B-4EB6-912B-326B60347BC6}"/>
      </w:docPartPr>
      <w:docPartBody>
        <w:p w:rsidR="000A0B58" w:rsidRDefault="00716160" w:rsidP="00716160">
          <w:pPr>
            <w:pStyle w:val="25A1DC85090D4295B61912927D19F9E9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61D1506BF0241E685F70FF689CB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4A46-A434-4658-ABB5-30CFB6C0BF49}"/>
      </w:docPartPr>
      <w:docPartBody>
        <w:p w:rsidR="00DF2A03" w:rsidRDefault="005702DD" w:rsidP="005702DD">
          <w:pPr>
            <w:pStyle w:val="061D1506BF0241E685F70FF689CBCF41"/>
          </w:pPr>
          <w:r>
            <w:rPr>
              <w:rStyle w:val="Textodelmarcadordeposicin"/>
              <w:rFonts w:ascii="Calibri" w:hAnsi="Calibri"/>
            </w:rPr>
            <w:t>Número (Suma de horas de acompañamiento directo y de trabajo independiente)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37C91"/>
    <w:rsid w:val="00077A73"/>
    <w:rsid w:val="000A0B58"/>
    <w:rsid w:val="000B1F8E"/>
    <w:rsid w:val="000E2211"/>
    <w:rsid w:val="00126DCC"/>
    <w:rsid w:val="00150D73"/>
    <w:rsid w:val="001C2701"/>
    <w:rsid w:val="001E4552"/>
    <w:rsid w:val="001E7937"/>
    <w:rsid w:val="00202546"/>
    <w:rsid w:val="00267A5E"/>
    <w:rsid w:val="00283F92"/>
    <w:rsid w:val="00294D85"/>
    <w:rsid w:val="002C5883"/>
    <w:rsid w:val="002E4496"/>
    <w:rsid w:val="00344148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43A98"/>
    <w:rsid w:val="005702DD"/>
    <w:rsid w:val="00587E01"/>
    <w:rsid w:val="005A1DB9"/>
    <w:rsid w:val="005B4C9E"/>
    <w:rsid w:val="0064676D"/>
    <w:rsid w:val="00660BD7"/>
    <w:rsid w:val="00716160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AE7A05"/>
    <w:rsid w:val="00B04687"/>
    <w:rsid w:val="00B62EF5"/>
    <w:rsid w:val="00B85C72"/>
    <w:rsid w:val="00BF0A08"/>
    <w:rsid w:val="00C067B5"/>
    <w:rsid w:val="00C108C3"/>
    <w:rsid w:val="00C54D8D"/>
    <w:rsid w:val="00C56C38"/>
    <w:rsid w:val="00C87C22"/>
    <w:rsid w:val="00C97935"/>
    <w:rsid w:val="00CD5193"/>
    <w:rsid w:val="00CE1798"/>
    <w:rsid w:val="00CF4BC0"/>
    <w:rsid w:val="00D3084B"/>
    <w:rsid w:val="00D30A9E"/>
    <w:rsid w:val="00D43B6F"/>
    <w:rsid w:val="00DA05D2"/>
    <w:rsid w:val="00DB5BD7"/>
    <w:rsid w:val="00DE7B52"/>
    <w:rsid w:val="00DF2A03"/>
    <w:rsid w:val="00DF468F"/>
    <w:rsid w:val="00EA4159"/>
    <w:rsid w:val="00EC57D1"/>
    <w:rsid w:val="00EC6E0C"/>
    <w:rsid w:val="00F15E54"/>
    <w:rsid w:val="00F2042A"/>
    <w:rsid w:val="00F61E27"/>
    <w:rsid w:val="00F67FDF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F92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63A779CB8CD4039A818C326D107B720">
    <w:name w:val="D63A779CB8CD4039A818C326D107B720"/>
    <w:rsid w:val="00716160"/>
  </w:style>
  <w:style w:type="paragraph" w:customStyle="1" w:styleId="438197D344C5402EA1FC1C7E966FDE06">
    <w:name w:val="438197D344C5402EA1FC1C7E966FDE06"/>
    <w:rsid w:val="00716160"/>
  </w:style>
  <w:style w:type="paragraph" w:customStyle="1" w:styleId="43C561B77ADA442D821DB7F490DDA86B">
    <w:name w:val="43C561B77ADA442D821DB7F490DDA86B"/>
    <w:rsid w:val="00716160"/>
  </w:style>
  <w:style w:type="paragraph" w:customStyle="1" w:styleId="CAA9E4CBA694421C837FB421A1DB61BD">
    <w:name w:val="CAA9E4CBA694421C837FB421A1DB61BD"/>
    <w:rsid w:val="00716160"/>
  </w:style>
  <w:style w:type="paragraph" w:customStyle="1" w:styleId="285F8F1DE23F424083B1F297C6E46731">
    <w:name w:val="285F8F1DE23F424083B1F297C6E46731"/>
    <w:rsid w:val="00716160"/>
  </w:style>
  <w:style w:type="paragraph" w:customStyle="1" w:styleId="71E8FE2C1B8343ED81B48F6663D5E95D">
    <w:name w:val="71E8FE2C1B8343ED81B48F6663D5E95D"/>
    <w:rsid w:val="00716160"/>
  </w:style>
  <w:style w:type="paragraph" w:customStyle="1" w:styleId="B0160B4660A64041BB34C2A1DF5528EB">
    <w:name w:val="B0160B4660A64041BB34C2A1DF5528EB"/>
    <w:rsid w:val="00716160"/>
  </w:style>
  <w:style w:type="paragraph" w:customStyle="1" w:styleId="9720B76D6F2C4239A44A68E5257BACCF">
    <w:name w:val="9720B76D6F2C4239A44A68E5257BACCF"/>
    <w:rsid w:val="00716160"/>
  </w:style>
  <w:style w:type="paragraph" w:customStyle="1" w:styleId="C0323C39D982473C9C1CF2402638D713">
    <w:name w:val="C0323C39D982473C9C1CF2402638D713"/>
    <w:rsid w:val="00716160"/>
  </w:style>
  <w:style w:type="paragraph" w:customStyle="1" w:styleId="1362614931A74269A0D09CDFF64F91AE">
    <w:name w:val="1362614931A74269A0D09CDFF64F91AE"/>
    <w:rsid w:val="00716160"/>
  </w:style>
  <w:style w:type="paragraph" w:customStyle="1" w:styleId="F501B2559B7E42489220444E5845A4DE">
    <w:name w:val="F501B2559B7E42489220444E5845A4DE"/>
    <w:rsid w:val="00716160"/>
  </w:style>
  <w:style w:type="paragraph" w:customStyle="1" w:styleId="0B536E72300B478E836080E24E7FE1D7">
    <w:name w:val="0B536E72300B478E836080E24E7FE1D7"/>
    <w:rsid w:val="00716160"/>
  </w:style>
  <w:style w:type="paragraph" w:customStyle="1" w:styleId="061D1506BF0241E685F70FF689CBCF41">
    <w:name w:val="061D1506BF0241E685F70FF689CBCF41"/>
    <w:rsid w:val="005702DD"/>
  </w:style>
  <w:style w:type="paragraph" w:customStyle="1" w:styleId="32D6B260D95A4B39B82989E527D6596C">
    <w:name w:val="32D6B260D95A4B39B82989E527D6596C"/>
    <w:rsid w:val="00716160"/>
  </w:style>
  <w:style w:type="paragraph" w:customStyle="1" w:styleId="2A17C730F891410E979991D135B7EE10">
    <w:name w:val="2A17C730F891410E979991D135B7EE10"/>
    <w:rsid w:val="00716160"/>
  </w:style>
  <w:style w:type="paragraph" w:customStyle="1" w:styleId="F1D1774FF2A04B08A43683159AF1FA9C">
    <w:name w:val="F1D1774FF2A04B08A43683159AF1FA9C"/>
    <w:rsid w:val="00716160"/>
  </w:style>
  <w:style w:type="paragraph" w:customStyle="1" w:styleId="6C219CB9CB3E4FCCB23DCA005413741D">
    <w:name w:val="6C219CB9CB3E4FCCB23DCA005413741D"/>
    <w:rsid w:val="00716160"/>
  </w:style>
  <w:style w:type="paragraph" w:customStyle="1" w:styleId="695B84140CCB4BCE85DD46F9BF78EB2A">
    <w:name w:val="695B84140CCB4BCE85DD46F9BF78EB2A"/>
    <w:rsid w:val="00716160"/>
  </w:style>
  <w:style w:type="paragraph" w:customStyle="1" w:styleId="27EE9E9930094F388BD19C9630602FE4">
    <w:name w:val="27EE9E9930094F388BD19C9630602FE4"/>
    <w:rsid w:val="00716160"/>
  </w:style>
  <w:style w:type="paragraph" w:customStyle="1" w:styleId="F7481A5E57C1465FAB531476BE7C6637">
    <w:name w:val="F7481A5E57C1465FAB531476BE7C6637"/>
    <w:rsid w:val="00716160"/>
  </w:style>
  <w:style w:type="paragraph" w:customStyle="1" w:styleId="32D5647E08BB4071BC9F5D391CE1D9AC">
    <w:name w:val="32D5647E08BB4071BC9F5D391CE1D9AC"/>
    <w:rsid w:val="00716160"/>
  </w:style>
  <w:style w:type="paragraph" w:customStyle="1" w:styleId="997AE7767C134A8B9D9A355810532BBB">
    <w:name w:val="997AE7767C134A8B9D9A355810532BBB"/>
    <w:rsid w:val="00716160"/>
  </w:style>
  <w:style w:type="paragraph" w:customStyle="1" w:styleId="25A1DC85090D4295B61912927D19F9E9">
    <w:name w:val="25A1DC85090D4295B61912927D19F9E9"/>
    <w:rsid w:val="00716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E5546-505B-4273-BE85-4BE0866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LibreOffice/24.2.0.3$Linux_X86_64 LibreOffice_project/a9077e3fef0a06cb428c7a740a03f33bf70ac6ee</Application>
  <AppVersion>15.0000</AppVersion>
  <Pages>7</Pages>
  <Words>2102</Words>
  <Characters>12645</Characters>
  <CharactersWithSpaces>14677</CharactersWithSpaces>
  <Paragraphs>155</Paragraphs>
  <Company>UNIVERSIDAD DE ANTIOQUIA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2023-03-31T15:56:00Z</dcterms:created>
  <dc:creator>VICERRECTORÍA DE DOCENCIA</dc:creator>
  <dc:description/>
  <dc:language>es-CO</dc:language>
  <cp:lastModifiedBy/>
  <cp:lastPrinted>2018-07-12T23:57:00Z</cp:lastPrinted>
  <dcterms:modified xsi:type="dcterms:W3CDTF">2024-02-18T11:54:48Z</dcterms:modified>
  <cp:revision>13</cp:revision>
  <dc:subject/>
  <dc:title>PROGRAMA OFICIAL DE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e0fee4d4514d6e34dd77bcb35463897c22e85f67dbae61798565489413c1e836</vt:lpwstr>
  </property>
</Properties>
</file>