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p>
      <w:pPr>
        <w:pStyle w:val="FirstParagraph"/>
      </w:pPr>
      <w:r>
        <w:t xml:space="preserve"> </w:t>
      </w:r>
      <w:r>
        <w:t xml:space="preserve"> </w:t>
      </w:r>
      <w:r>
        <w:t xml:space="preserve"> </w:t>
      </w:r>
      <w:r>
        <w:t xml:space="preserve"> </w:t>
      </w:r>
      <w:r>
        <w:t xml:space="preserve"> </w:t>
      </w:r>
      <w:r>
        <w:t xml:space="preserve"> </w:t>
      </w:r>
      <w:r>
        <w:t xml:space="preserve"> </w:t>
      </w:r>
      <w:r>
        <w:t xml:space="preserve"> </w:t>
      </w:r>
    </w:p>
    <w:tbl>
      <w:tblPr>
        <w:tblStyle w:val="FigureTable"/>
        <w:tblW w:type="auto" w:w="0"/>
        <w:jc w:val="center"/>
        <w:tblLook w:firstRow="0" w:lastRow="0" w:firstColumn="0" w:lastColumn="0"/>
      </w:tblPr>
      <w:tblGrid>
        <w:gridCol w:w="7920"/>
      </w:tblGrid>
      <w:tr>
        <w:tc>
          <w:tcPr/>
          <w:p>
            <w:pPr>
              <w:pStyle w:val="Compact"/>
              <w:jc w:val="center"/>
            </w:pPr>
          </w:p>
        </w:tc>
      </w:tr>
    </w:tbl>
    <w:p>
      <w:pPr>
        <w:pStyle w:val="BodyText"/>
      </w:pPr>
      <w:r>
        <w:rPr>
          <w:b/>
          <w:bCs/>
        </w:rPr>
        <w:t xml:space="preserve">UNIVERSIDADE FEDERAL DO RIO DE JANEIRO</w:t>
      </w:r>
    </w:p>
    <w:p>
      <w:pPr>
        <w:pStyle w:val="BodyText"/>
      </w:pPr>
      <w:r>
        <w:rPr>
          <w:b/>
          <w:bCs/>
        </w:rPr>
        <w:t xml:space="preserve">INSTITUTO DE ESTUDOS EM SAÚDE COLETIVA</w:t>
      </w:r>
    </w:p>
    <w:p>
      <w:pPr>
        <w:pStyle w:val="BodyText"/>
      </w:pPr>
      <w:r>
        <w:rPr>
          <w:b/>
          <w:bCs/>
        </w:rPr>
        <w:t xml:space="preserve">Aprendizado de Máquina Aplicado ao Pós-Processamento</w:t>
      </w:r>
      <w:r>
        <w:br/>
      </w:r>
      <w:r>
        <w:rPr>
          <w:b/>
          <w:bCs/>
        </w:rPr>
        <w:t xml:space="preserve">do Relacionamento Probabilístico de Bases</w:t>
      </w:r>
      <w:r>
        <w:br/>
      </w:r>
      <w:r>
        <w:rPr>
          <w:b/>
          <w:bCs/>
        </w:rPr>
        <w:t xml:space="preserve">de Dados de Saúde</w:t>
      </w:r>
    </w:p>
    <w:p>
      <w:pPr>
        <w:pStyle w:val="BodyText"/>
      </w:pPr>
      <w:r>
        <w:rPr>
          <w:b/>
          <w:bCs/>
        </w:rPr>
        <w:t xml:space="preserve">Marco Elisio Oliveira Jardim</w:t>
      </w:r>
    </w:p>
    <w:p>
      <w:pPr>
        <w:pStyle w:val="BodyText"/>
      </w:pPr>
      <w:r>
        <w:rPr>
          <w:b/>
          <w:bCs/>
        </w:rPr>
        <w:t xml:space="preserve">Rio de Janeiro</w:t>
      </w:r>
    </w:p>
    <w:p>
      <w:pPr>
        <w:pStyle w:val="BodyText"/>
      </w:pPr>
      <w:r>
        <w:rPr>
          <w:b/>
          <w:bCs/>
        </w:rPr>
        <w:t xml:space="preserve">2026</w:t>
      </w:r>
    </w:p>
    <w:p>
      <w:pPr>
        <w:pStyle w:val="BodyText"/>
      </w:pPr>
      <w:r>
        <w:rPr>
          <w:b/>
          <w:bCs/>
        </w:rPr>
        <w:t xml:space="preserve">Marco Elisio Oliveira Jardim</w:t>
      </w:r>
    </w:p>
    <w:p>
      <w:pPr>
        <w:pStyle w:val="BodyText"/>
      </w:pPr>
      <w:r>
        <w:rPr>
          <w:b/>
          <w:bCs/>
        </w:rPr>
        <w:t xml:space="preserve">Aprendizado de Máquina Aplicado ao Pós-Processamento</w:t>
      </w:r>
      <w:r>
        <w:br/>
      </w:r>
      <w:r>
        <w:rPr>
          <w:b/>
          <w:bCs/>
        </w:rPr>
        <w:t xml:space="preserve">do Relacionamento Probabilístico de Bases</w:t>
      </w:r>
      <w:r>
        <w:br/>
      </w:r>
      <w:r>
        <w:rPr>
          <w:b/>
          <w:bCs/>
        </w:rPr>
        <w:t xml:space="preserve">de Dados de Saúde</w:t>
      </w:r>
    </w:p>
    <w:p>
      <w:pPr>
        <w:pStyle w:val="BodyText"/>
      </w:pPr>
      <w:r>
        <w:rPr>
          <w:b/>
          <w:bCs/>
        </w:rPr>
        <w:t xml:space="preserve">Rio de Janeiro</w:t>
      </w:r>
    </w:p>
    <w:p>
      <w:pPr>
        <w:pStyle w:val="BodyText"/>
      </w:pPr>
      <w:r>
        <w:rPr>
          <w:b/>
          <w:bCs/>
        </w:rPr>
        <w:t xml:space="preserve">2026</w:t>
      </w:r>
    </w:p>
    <w:p>
      <w:pPr>
        <w:pStyle w:val="BodyText"/>
      </w:pPr>
    </w:p>
    <w:tbl>
      <w:tblPr>
        <w:tblStyle w:val="Table"/>
        <w:tblW w:type="auto" w:w="0"/>
        <w:tblLook w:firstRow="0" w:lastRow="0" w:firstColumn="0" w:lastColumn="0" w:noHBand="0" w:noVBand="0" w:val="0000"/>
      </w:tblPr>
      <w:tblGrid>
        <w:gridCol w:w="7920"/>
      </w:tblGrid>
      <w:tr>
        <w:tc>
          <w:tcPr/>
          <w:p>
            <w:pPr>
              <w:pStyle w:val="Compact"/>
            </w:pPr>
          </w:p>
        </w:tc>
      </w:tr>
      <w:tr>
        <w:tc>
          <w:tcPr/>
          <w:p>
            <w:r>
              <w:pict>
                <v:rect style="width:0;height:1.5pt" o:hralign="center" o:hrstd="t" o:hr="t"/>
              </w:pict>
            </w:r>
          </w:p>
          <w:p>
            <w:pPr>
              <w:jc w:val="center"/>
            </w:pPr>
            <w:r>
              <w:t xml:space="preserve">Jardim, Marco Elisio Oliveira</w:t>
            </w:r>
          </w:p>
          <w:p>
            <w:pPr>
              <w:jc w:val="center"/>
            </w:pPr>
            <w:r>
              <w:t xml:space="preserve">Aprendizado de máquina aplicado ao pós-processamento do relacionamento probabilı́stico de bases de dados de saúde / Marco Elisio Oliveira Jardim. – Rio de Janeiro, 2026.</w:t>
            </w:r>
          </w:p>
          <w:p>
            <w:pPr>
              <w:jc w:val="center"/>
            </w:pPr>
            <w:r>
              <w:t xml:space="preserve">122 f.: il.</w:t>
            </w:r>
          </w:p>
          <w:p>
            <w:pPr>
              <w:jc w:val="center"/>
            </w:pPr>
            <w:r>
              <w:t xml:space="preserve">Orientadora: Rejane Sobrino Pinheiro.</w:t>
            </w:r>
          </w:p>
          <w:p>
            <w:pPr>
              <w:jc w:val="center"/>
            </w:pPr>
            <w:r>
              <w:t xml:space="preserve">Tese (Doutorado em Saúde Coletiva) – Universidade Federal do Rio de Janeiro, Instituto de Estudos em Saúde Coletiva, Programa de Pós-Graduação em Saúde Coletiva, 2026.</w:t>
            </w:r>
          </w:p>
          <w:p>
            <w:pPr>
              <w:jc w:val="center"/>
            </w:pPr>
            <w:r>
              <w:t xml:space="preserve">1.</w:t>
            </w:r>
            <w:r>
              <w:t xml:space="preserve"> </w:t>
            </w:r>
            <w:r>
              <w:rPr>
                <w:i/>
                <w:iCs/>
              </w:rPr>
              <w:t xml:space="preserve">Linkage</w:t>
            </w:r>
            <w:r>
              <w:t xml:space="preserve"> </w:t>
            </w:r>
            <w:r>
              <w:t xml:space="preserve">probabilı́stico. 2. Aprendizado de máquina. 3. Desbalanceamento de classes. 4. Pós-processamento. 5. Tuberculose. 6. Mortalidade. 7. Vigilância em saúde. 8. Modelos de linguagem. 9. Zona cinzenta. I. Pinheiro, Rejane Sobrino, orient. II. Universidade Federal do Rio de Janeiro, Instituto de Estudos em Saúde Coletiva, Programa de Pós-Graduação em Saúde Coletiva. III. Tı́tulo.</w:t>
            </w:r>
          </w:p>
        </w:tc>
      </w:tr>
    </w:tbl>
    <w:p>
      <w:pPr>
        <w:pStyle w:val="BodyText"/>
      </w:pPr>
      <w:r>
        <w:t xml:space="preserve"> </w:t>
      </w:r>
    </w:p>
    <w:p>
      <w:pPr>
        <w:pStyle w:val="BodyText"/>
      </w:pPr>
      <w:r>
        <w:rPr>
          <w:b/>
          <w:bCs/>
        </w:rPr>
        <w:t xml:space="preserve">Marco Elisio Oliveira Jardim</w:t>
      </w:r>
    </w:p>
    <w:p>
      <w:pPr>
        <w:pStyle w:val="BodyText"/>
      </w:pPr>
      <w:r>
        <w:rPr>
          <w:b/>
          <w:bCs/>
        </w:rPr>
        <w:t xml:space="preserve">Aprendizado de Máquina Aplicado ao Pós-Processamento</w:t>
      </w:r>
      <w:r>
        <w:br/>
      </w:r>
      <w:r>
        <w:rPr>
          <w:b/>
          <w:bCs/>
        </w:rPr>
        <w:t xml:space="preserve">do Relacionamento Probabilístico de Bases</w:t>
      </w:r>
      <w:r>
        <w:br/>
      </w:r>
      <w:r>
        <w:rPr>
          <w:b/>
          <w:bCs/>
        </w:rPr>
        <w:t xml:space="preserve">de Dados de Saúde</w:t>
      </w:r>
    </w:p>
    <w:p>
      <w:pPr>
        <w:pStyle w:val="BodyText"/>
      </w:pPr>
      <w:r>
        <w:t xml:space="preserve">Tese de Doutorado apresentada ao Programa de Pós-Graduação em Saúde Coletiva do Instituto de Estudos de Saúde Coletiva da Universidade Federal do Rio de Janeiro – UFRJ, como parte dos requisitos necessários à obtenção do título de Doutor em Ciências (Saúde Coletiva).</w:t>
      </w:r>
    </w:p>
    <w:p>
      <w:pPr>
        <w:pStyle w:val="BodyText"/>
      </w:pPr>
      <w:r>
        <w:t xml:space="preserve">Aprovada em ______ de ________________ de 2026.</w:t>
      </w:r>
    </w:p>
    <w:p>
      <w:r>
        <w:pict>
          <v:rect style="width:0;height:1.5pt" o:hralign="center" o:hrstd="t" o:hr="t"/>
        </w:pict>
      </w:r>
    </w:p>
    <w:p>
      <w:pPr>
        <w:pStyle w:val="FirstParagraph"/>
      </w:pPr>
      <w:r>
        <w:br/>
      </w:r>
      <w:r>
        <w:t xml:space="preserve">Prof.</w:t>
      </w:r>
      <w:r>
        <w:rPr>
          <w:vertAlign w:val="superscript"/>
        </w:rPr>
        <w:t xml:space="preserve">a</w:t>
      </w:r>
      <w:r>
        <w:t xml:space="preserve"> </w:t>
      </w:r>
      <w:r>
        <w:t xml:space="preserve">Dr.</w:t>
      </w:r>
      <w:r>
        <w:rPr>
          <w:vertAlign w:val="superscript"/>
        </w:rPr>
        <w:t xml:space="preserve">a</w:t>
      </w:r>
      <w:r>
        <w:t xml:space="preserve"> </w:t>
      </w:r>
      <w:r>
        <w:t xml:space="preserve">Rejane Sobrino Pinheiro (Orientadora)</w:t>
      </w:r>
      <w:r>
        <w:br/>
      </w:r>
      <w:r>
        <w:t xml:space="preserve">IESC/UFRJ</w:t>
      </w:r>
    </w:p>
    <w:p>
      <w:r>
        <w:pict>
          <v:rect style="width:0;height:1.5pt" o:hralign="center" o:hrstd="t" o:hr="t"/>
        </w:pict>
      </w:r>
    </w:p>
    <w:p>
      <w:pPr>
        <w:pStyle w:val="FirstParagraph"/>
      </w:pPr>
      <w:r>
        <w:br/>
      </w:r>
      <w:r>
        <w:t xml:space="preserve">[NOME_DO_EXAMINADOR_1]</w:t>
      </w:r>
      <w:r>
        <w:br/>
      </w:r>
      <w:r>
        <w:t xml:space="preserve">[INSTITUIÇÃO_1]</w:t>
      </w:r>
    </w:p>
    <w:p>
      <w:r>
        <w:pict>
          <v:rect style="width:0;height:1.5pt" o:hralign="center" o:hrstd="t" o:hr="t"/>
        </w:pict>
      </w:r>
    </w:p>
    <w:p>
      <w:pPr>
        <w:pStyle w:val="FirstParagraph"/>
      </w:pPr>
      <w:r>
        <w:br/>
      </w:r>
      <w:r>
        <w:t xml:space="preserve">[NOME_DO_EXAMINADOR_2]</w:t>
      </w:r>
      <w:r>
        <w:br/>
      </w:r>
      <w:r>
        <w:t xml:space="preserve">[INSTITUIÇÃO_2]</w:t>
      </w:r>
    </w:p>
    <w:p>
      <w:r>
        <w:pict>
          <v:rect style="width:0;height:1.5pt" o:hralign="center" o:hrstd="t" o:hr="t"/>
        </w:pict>
      </w:r>
    </w:p>
    <w:p>
      <w:pPr>
        <w:pStyle w:val="FirstParagraph"/>
      </w:pPr>
      <w:r>
        <w:br/>
      </w:r>
      <w:r>
        <w:t xml:space="preserve">[NOME_DO_EXAMINADOR_3]</w:t>
      </w:r>
      <w:r>
        <w:br/>
      </w:r>
      <w:r>
        <w:t xml:space="preserve">[INSTITUIÇÃO_3]</w:t>
      </w:r>
    </w:p>
    <w:p>
      <w:r>
        <w:pict>
          <v:rect style="width:0;height:1.5pt" o:hralign="center" o:hrstd="t" o:hr="t"/>
        </w:pict>
      </w:r>
    </w:p>
    <w:p>
      <w:pPr>
        <w:pStyle w:val="FirstParagraph"/>
      </w:pPr>
      <w:r>
        <w:br/>
      </w:r>
      <w:r>
        <w:t xml:space="preserve">[NOME_DO_EXAMINADOR_4]</w:t>
      </w:r>
      <w:r>
        <w:br/>
      </w:r>
      <w:r>
        <w:t xml:space="preserve">[INSTITUIÇÃO_4]</w:t>
      </w:r>
    </w:p>
    <w:p>
      <w:pPr>
        <w:pStyle w:val="BodyText"/>
      </w:pPr>
    </w:p>
    <w:p>
      <w:pPr>
        <w:pStyle w:val="BodyText"/>
      </w:pPr>
      <w:r>
        <w:rPr>
          <w:b/>
          <w:bCs/>
        </w:rPr>
        <w:t xml:space="preserve">Agradecimentos</w:t>
      </w:r>
    </w:p>
    <w:p>
      <w:pPr>
        <w:pStyle w:val="BodyText"/>
      </w:pPr>
      <w:r>
        <w:t xml:space="preserve">À minha orientadora, Professora Rejane Sobrino Pinheiro, agradeço pela</w:t>
      </w:r>
      <w:r>
        <w:t xml:space="preserve"> </w:t>
      </w:r>
      <w:r>
        <w:t xml:space="preserve">confiança depositada neste trabalho, pela orientação rigorosa e generosa ao</w:t>
      </w:r>
      <w:r>
        <w:t xml:space="preserve"> </w:t>
      </w:r>
      <w:r>
        <w:t xml:space="preserve">longo de todos estes anos e pelo exemplo de dedicação à pesquisa em saúde</w:t>
      </w:r>
      <w:r>
        <w:t xml:space="preserve"> </w:t>
      </w:r>
      <w:r>
        <w:t xml:space="preserve">pública. Sua capacidade de acolher ideias e, ao mesmo tempo, exigir o melhor</w:t>
      </w:r>
      <w:r>
        <w:t xml:space="preserve"> </w:t>
      </w:r>
      <w:r>
        <w:t xml:space="preserve">de cada análise foi determinante para que esta tese chegasse a bom termo.</w:t>
      </w:r>
    </w:p>
    <w:p>
      <w:pPr>
        <w:pStyle w:val="BodyText"/>
      </w:pPr>
      <w:r>
        <w:t xml:space="preserve">À minha esposa, Joyce, companheira de todas as horas, agradeço pelo amor</w:t>
      </w:r>
      <w:r>
        <w:t xml:space="preserve"> </w:t>
      </w:r>
      <w:r>
        <w:t xml:space="preserve">incondicional, pela paciência com as noites de estudo e pela serenidade que</w:t>
      </w:r>
      <w:r>
        <w:t xml:space="preserve"> </w:t>
      </w:r>
      <w:r>
        <w:t xml:space="preserve">manteve nosso lar de pé nos momentos em que esta jornada pareceu longa</w:t>
      </w:r>
      <w:r>
        <w:t xml:space="preserve"> </w:t>
      </w:r>
      <w:r>
        <w:t xml:space="preserve">demais. Sem o seu apoio, nada disto teria sido possível.</w:t>
      </w:r>
    </w:p>
    <w:p>
      <w:pPr>
        <w:pStyle w:val="BodyText"/>
      </w:pPr>
      <w:r>
        <w:t xml:space="preserve">Aos meus filhos, José Antônio e Marco, agradeço por serem a razão mais</w:t>
      </w:r>
      <w:r>
        <w:t xml:space="preserve"> </w:t>
      </w:r>
      <w:r>
        <w:t xml:space="preserve">concreta de seguir adiante. Cada sorriso de vocês renovou a energia</w:t>
      </w:r>
      <w:r>
        <w:t xml:space="preserve"> </w:t>
      </w:r>
      <w:r>
        <w:t xml:space="preserve">necessária para mais uma página, mais um experimento, mais um dia de</w:t>
      </w:r>
      <w:r>
        <w:t xml:space="preserve"> </w:t>
      </w:r>
      <w:r>
        <w:t xml:space="preserve">trabalho.</w:t>
      </w:r>
    </w:p>
    <w:p>
      <w:pPr>
        <w:pStyle w:val="BodyText"/>
      </w:pPr>
      <w:r>
        <w:t xml:space="preserve">A todas as pessoas que, de forma direta ou indireta, contribuíram para esta</w:t>
      </w:r>
      <w:r>
        <w:t xml:space="preserve"> </w:t>
      </w:r>
      <w:r>
        <w:t xml:space="preserve">caminhada, colegas de pesquisa, professores, amigos e familiares,</w:t>
      </w:r>
      <w:r>
        <w:t xml:space="preserve"> </w:t>
      </w:r>
      <w:r>
        <w:t xml:space="preserve">registro aqui minha gratidão sincera. Cada conversa, sugestão e palavra de</w:t>
      </w:r>
      <w:r>
        <w:t xml:space="preserve"> </w:t>
      </w:r>
      <w:r>
        <w:t xml:space="preserve">incentivo deixou marca neste trabalho e em quem o escreveu.</w:t>
      </w:r>
    </w:p>
    <w:p>
      <w:pPr>
        <w:pStyle w:val="BodyText"/>
      </w:pPr>
    </w:p>
    <w:p>
      <w:pPr>
        <w:pStyle w:val="BodyText"/>
      </w:pPr>
      <w:r>
        <w:rPr>
          <w:b/>
          <w:bCs/>
        </w:rPr>
        <w:t xml:space="preserve">Resumo</w:t>
      </w:r>
      <w:r>
        <w:br/>
      </w:r>
      <w:r>
        <w:t xml:space="preserve"> </w:t>
      </w:r>
      <w:r>
        <w:rPr>
          <w:b/>
          <w:bCs/>
        </w:rPr>
        <w:t xml:space="preserve">Aprendizado de Máquina Aplicado ao Pós-Processamento</w:t>
      </w:r>
      <w:r>
        <w:br/>
      </w:r>
      <w:r>
        <w:rPr>
          <w:b/>
          <w:bCs/>
        </w:rPr>
        <w:t xml:space="preserve">do Relacionamento Probabilı́stico de Bases de Dados de Saúde</w:t>
      </w:r>
      <w:r>
        <w:br/>
      </w:r>
      <w:r>
        <w:t xml:space="preserve"> </w:t>
      </w:r>
      <w:r>
        <w:rPr>
          <w:b/>
          <w:bCs/>
        </w:rPr>
        <w:t xml:space="preserve">Marco Elisio Oliveira Jardim</w:t>
      </w:r>
      <w:r>
        <w:br/>
      </w:r>
      <w:r>
        <w:t xml:space="preserve"> </w:t>
      </w:r>
      <w:r>
        <w:rPr>
          <w:b/>
          <w:bCs/>
        </w:rPr>
        <w:t xml:space="preserve">Orientadora: Rejane Sobrino Pinheiro</w:t>
      </w:r>
      <w:r>
        <w:br/>
      </w:r>
    </w:p>
    <w:p>
      <w:pPr>
        <w:pStyle w:val="BodyText"/>
      </w:pPr>
      <w:r>
        <w:t xml:space="preserve">Resumo da Tese de Doutorado apresentada ao Programa de Pós-Graduação em Saúde Coletiva do Instituto de Estudos em Saúde Coletiva da Universidade Federal do Rio de Janeiro - UFRJ, como parte dos requisitos necessários à obtenção do título de Doutor em Ciências (Saúde Coletiva).</w:t>
      </w:r>
    </w:p>
    <w:p>
      <w:pPr>
        <w:pStyle w:val="BodyText"/>
      </w:pPr>
      <w:r>
        <w:t xml:space="preserve">O</w:t>
      </w:r>
      <w:r>
        <w:t xml:space="preserve"> </w:t>
      </w:r>
      <w:r>
        <w:rPr>
          <w:i/>
          <w:iCs/>
        </w:rPr>
        <w:t xml:space="preserve">linkage</w:t>
      </w:r>
      <w:r>
        <w:t xml:space="preserve"> </w:t>
      </w:r>
      <w:r>
        <w:t xml:space="preserve">de bases de dados, processo de identificação e vinculação de registros que se referem a um mesmo indivíduo em sistemas de informação distintos, constitui etapa estratégica da vigilância epidemiológica no Brasil. Esse processo viabiliza a integração de dados dispersos pelos Sistemas de Informação em Saúde e a produção de indicadores de desempenho inacessíveis por um único sistema isolado. O modelo de decisão de Fellegi e Sunter distribui os pares candidatos gerados pelo processo de blocagem em três regiões: pares aceitos, pares rejeitados e faixa intermediária de indecisão. Essa faixa, denominada zona cinzenta (</w:t>
      </w:r>
      <w:r>
        <w:rPr>
          <w:i/>
          <w:iCs/>
        </w:rPr>
        <w:t xml:space="preserve">grey zone</w:t>
      </w:r>
      <w:r>
        <w:t xml:space="preserve">), reúne potenciais pares sem evidência suficiente para classificação automatizada e demanda revisão manual, procedimento dispendioso, pouco escalável e sujeito à variabilidade entre avaliadores. Essa limitação é particularmente aguda no</w:t>
      </w:r>
      <w:r>
        <w:t xml:space="preserve"> </w:t>
      </w:r>
      <w:r>
        <w:rPr>
          <w:i/>
          <w:iCs/>
        </w:rPr>
        <w:t xml:space="preserve">linkage</w:t>
      </w:r>
      <w:r>
        <w:t xml:space="preserve"> </w:t>
      </w:r>
      <w:r>
        <w:t xml:space="preserve">probabilístico entre o Sistema de Informação sobre Mortalidade (SIM) e o Sistema de Informação de Agravos de Notificação para tuberculose (Sinan-TB). Nesse cenário, a tuberculose, condição marcadora da qualidade do cuidado em saúde, apresenta subnotificação expressiva de óbitos nos sistemas de vigilância brasileiros, comprometendo a estimação da carga real da doença e a avaliação da efetividade dos programas de controle.</w:t>
      </w:r>
    </w:p>
    <w:p>
      <w:pPr>
        <w:pStyle w:val="BodyText"/>
      </w:pPr>
      <w:r>
        <w:t xml:space="preserve">Foi proposto e avaliado um</w:t>
      </w:r>
      <w:r>
        <w:t xml:space="preserve"> </w:t>
      </w:r>
      <w:r>
        <w:rPr>
          <w:i/>
          <w:iCs/>
        </w:rPr>
        <w:t xml:space="preserve">framework</w:t>
      </w:r>
      <w:r>
        <w:t xml:space="preserve"> </w:t>
      </w:r>
      <w:r>
        <w:t xml:space="preserve">(estrutura metodológica) configurável de pós-processamento, fundamentado em aprendizado de máquina (</w:t>
      </w:r>
      <w:r>
        <w:rPr>
          <w:i/>
          <w:iCs/>
        </w:rPr>
        <w:t xml:space="preserve">machine learning</w:t>
      </w:r>
      <w:r>
        <w:t xml:space="preserve">), para a classificação automatizada de pares situados na zona cinzenta do</w:t>
      </w:r>
      <w:r>
        <w:t xml:space="preserve"> </w:t>
      </w:r>
      <w:r>
        <w:rPr>
          <w:i/>
          <w:iCs/>
        </w:rPr>
        <w:t xml:space="preserve">linkage</w:t>
      </w:r>
      <w:r>
        <w:t xml:space="preserve"> </w:t>
      </w:r>
      <w:r>
        <w:t xml:space="preserve">probabilístico SIM–Sinan-TB no município do Rio de Janeiro, referentes a notificações de 2013 a 2022 e registros do SIM referentes a óbitos de 2019 a 2022. A base experimental compreendeu 61.696 pares candidatos gerados pelo OpenRecLink e pontuados por comparador de registros que produz 29 subescores de similaridade campo a campo e um escore agregado, com padrão-ouro de 247 pares verdadeiros, configurando razão de desbalanceamento de aproximadamente 1:249. O estudo de ablação comparou seis classificadores supervisionados, Regressão Logística, Floresta Aleatória (Random Forest), XGBoost, LightGBM, Máquina de Vetores de Suporte e Perceptron Multicamadas, combinados com nove estratégias de balanceamento de classes, SMOTE, Borderline-SMOTE, ADASYN, SMOTE-Tomek e variantes de ponderação, totalizando 70 configurações experimentais. Em etapa subsequente, cinco classificadores foram retidos para comparação aprofundada, incorporando o TabNet como representante do aprendizado profundo tabular (</w:t>
      </w:r>
      <w:r>
        <w:rPr>
          <w:i/>
          <w:iCs/>
        </w:rPr>
        <w:t xml:space="preserve">deep learning</w:t>
      </w:r>
      <w:r>
        <w:t xml:space="preserve">).</w:t>
      </w:r>
    </w:p>
    <w:p>
      <w:pPr>
        <w:pStyle w:val="BodyText"/>
      </w:pPr>
      <w:r>
        <w:t xml:space="preserve">A Floresta Aleatória com SMOTE e limiar de classificação de 0,5 alcançou</w:t>
      </w:r>
      <w:r>
        <w:t xml:space="preserve"> </w:t>
      </w:r>
      <m:oMath>
        <m:sSub>
          <m:e>
            <m:r>
              <m:t>F</m:t>
            </m:r>
          </m:e>
          <m:sub>
            <m:r>
              <m:t>1</m:t>
            </m:r>
          </m:sub>
        </m:sSub>
        <m:r>
          <m:rPr>
            <m:sty m:val="p"/>
          </m:rPr>
          <m:t>=</m:t>
        </m:r>
        <m:r>
          <m:t>0</m:t>
        </m:r>
        <m:r>
          <m:rPr>
            <m:sty m:val="p"/>
          </m:rPr>
          <m:t>,</m:t>
        </m:r>
        <m:r>
          <m:t>931</m:t>
        </m:r>
      </m:oMath>
      <w:r>
        <w:t xml:space="preserve">, contra</w:t>
      </w:r>
      <w:r>
        <w:t xml:space="preserve"> </w:t>
      </w:r>
      <m:oMath>
        <m:sSub>
          <m:e>
            <m:r>
              <m:t>F</m:t>
            </m:r>
          </m:e>
          <m:sub>
            <m:r>
              <m:t>1</m:t>
            </m:r>
          </m:sub>
        </m:sSub>
        <m:r>
          <m:rPr>
            <m:sty m:val="p"/>
          </m:rPr>
          <m:t>=</m:t>
        </m:r>
        <m:r>
          <m:t>0</m:t>
        </m:r>
        <m:r>
          <m:rPr>
            <m:sty m:val="p"/>
          </m:rPr>
          <m:t>,</m:t>
        </m:r>
        <m:r>
          <m:t>610</m:t>
        </m:r>
      </m:oMath>
      <w:r>
        <w:t xml:space="preserve"> </w:t>
      </w:r>
      <w:r>
        <w:t xml:space="preserve">do limiar convencional</w:t>
      </w:r>
      <w:r>
        <w:t xml:space="preserve"> </w:t>
      </w:r>
      <m:oMath>
        <m:r>
          <m:rPr>
            <m:sty m:val="p"/>
          </m:rPr>
          <m:t>≥</m:t>
        </m:r>
        <m:r>
          <m:t>8</m:t>
        </m:r>
      </m:oMath>
      <w:r>
        <w:t xml:space="preserve"> </w:t>
      </w:r>
      <w:r>
        <w:t xml:space="preserve">aplicado ao escore agregado, ganho de 32 pontos percentuais pelo pós-processamento supervisionado. O XGBoost apresentou desempenho equivalente ou superior (</w:t>
      </w:r>
      <m:oMath>
        <m:sSub>
          <m:e>
            <m:r>
              <m:t>F</m:t>
            </m:r>
          </m:e>
          <m:sub>
            <m:r>
              <m:t>1</m:t>
            </m:r>
          </m:sub>
        </m:sSub>
        <m:r>
          <m:rPr>
            <m:sty m:val="p"/>
          </m:rPr>
          <m:t>=</m:t>
        </m:r>
        <m:r>
          <m:t>0</m:t>
        </m:r>
        <m:r>
          <m:rPr>
            <m:sty m:val="p"/>
          </m:rPr>
          <m:t>,</m:t>
        </m:r>
        <m:r>
          <m:t>943</m:t>
        </m:r>
      </m:oMath>
      <w:r>
        <w:t xml:space="preserve"> </w:t>
      </w:r>
      <w:r>
        <w:t xml:space="preserve">no conjunto de avaliação independente;</w:t>
      </w:r>
      <w:r>
        <w:t xml:space="preserve"> </w:t>
      </w:r>
      <m:oMath>
        <m:r>
          <m:t>0</m:t>
        </m:r>
        <m:r>
          <m:rPr>
            <m:sty m:val="p"/>
          </m:rPr>
          <m:t>,</m:t>
        </m:r>
        <m:r>
          <m:t>924</m:t>
        </m:r>
        <m:r>
          <m:rPr>
            <m:sty m:val="p"/>
          </m:rPr>
          <m:t>±</m:t>
        </m:r>
        <m:r>
          <m:t>0</m:t>
        </m:r>
        <m:r>
          <m:rPr>
            <m:sty m:val="p"/>
          </m:rPr>
          <m:t>,</m:t>
        </m:r>
        <m:r>
          <m:t>030</m:t>
        </m:r>
      </m:oMath>
      <w:r>
        <w:t xml:space="preserve"> </w:t>
      </w:r>
      <w:r>
        <w:t xml:space="preserve">na validação cruzada com cinco partições), sendo adotado como classificador padrão do</w:t>
      </w:r>
      <w:r>
        <w:t xml:space="preserve"> </w:t>
      </w:r>
      <w:r>
        <w:rPr>
          <w:i/>
          <w:iCs/>
        </w:rPr>
        <w:t xml:space="preserve">framework</w:t>
      </w:r>
      <w:r>
        <w:t xml:space="preserve">. A análise de sensibilidade ao desbalanceamento de classes demonstrou que os classificadores mantiveram</w:t>
      </w:r>
      <w:r>
        <w:t xml:space="preserve"> </w:t>
      </w:r>
      <m:oMath>
        <m:sSub>
          <m:e>
            <m:r>
              <m:t>F</m:t>
            </m:r>
          </m:e>
          <m:sub>
            <m:r>
              <m:t>1</m:t>
            </m:r>
          </m:sub>
        </m:sSub>
      </m:oMath>
      <w:r>
        <w:t xml:space="preserve"> </w:t>
      </w:r>
      <w:r>
        <w:t xml:space="preserve">entre 0,880 e 0,918 nas nove estratégias avaliadas, evidenciando robustez à escolha do método de reamostragem. A interpretação por valores SHAP identificou o escore agregado, a contagem de nomes coincidentes e o indicador de nome exato como atributos de maior poder discriminatório, com o nome da mãe predominando nas decisões sobre pares situados na zona cinzenta. A análise de equidade, fundamentada no critério de</w:t>
      </w:r>
      <w:r>
        <w:t xml:space="preserve"> </w:t>
      </w:r>
      <w:r>
        <w:rPr>
          <w:i/>
          <w:iCs/>
        </w:rPr>
        <w:t xml:space="preserve">equalized odds</w:t>
      </w:r>
      <w:r>
        <w:t xml:space="preserve">, demonstrou homogeneidade da taxa de verdadeiros positivos entre os subgrupos demográficos e de similaridade avaliados, com disparidades de valor preditivo positivo atribuíveis a diferenças de prevalência entre subgrupos, e não a viés discriminatório do classificador. Do ponto de vista epidemiológico, a abordagem de máxima sensibilidade recuperou 24 óbitos adicionais por tuberculose, incremento de 55,8% sobre o limiar convencional, a um custo operacional de aproximadamente 1,0 revisão manual por óbito detectado.</w:t>
      </w:r>
    </w:p>
    <w:p>
      <w:pPr>
        <w:pStyle w:val="BodyText"/>
      </w:pPr>
      <w:r>
        <w:t xml:space="preserve">O</w:t>
      </w:r>
      <w:r>
        <w:t xml:space="preserve"> </w:t>
      </w:r>
      <w:r>
        <w:rPr>
          <w:i/>
          <w:iCs/>
        </w:rPr>
        <w:t xml:space="preserve">framework</w:t>
      </w:r>
      <w:r>
        <w:t xml:space="preserve"> </w:t>
      </w:r>
      <w:r>
        <w:t xml:space="preserve">configurável disponibiliza duas sequências operacionais (</w:t>
      </w:r>
      <w:r>
        <w:rPr>
          <w:i/>
          <w:iCs/>
        </w:rPr>
        <w:t xml:space="preserve">pipelines</w:t>
      </w:r>
      <w:r>
        <w:t xml:space="preserve">) pré-configuradas: uma orientada à vigilância, com prioridade à sensibilidade, e outra à confirmação de alta confiabilidade, com prioridade à precisão. Ambas são articuladas por uma fronteira de Pareto que permite ao gestor ou pesquisador calibrar explicitamente o equilíbrio entre sensibilidade e especificidade conforme a finalidade do</w:t>
      </w:r>
      <w:r>
        <w:t xml:space="preserve"> </w:t>
      </w:r>
      <w:r>
        <w:rPr>
          <w:i/>
          <w:iCs/>
        </w:rPr>
        <w:t xml:space="preserve">linkage</w:t>
      </w:r>
      <w:r>
        <w:t xml:space="preserve">. Como extensão operacional, foi proposto o</w:t>
      </w:r>
      <w:r>
        <w:t xml:space="preserve"> </w:t>
      </w:r>
      <w:r>
        <w:rPr>
          <w:i/>
          <w:iCs/>
        </w:rPr>
        <w:t xml:space="preserve">Grey-Zone Cost-based Mixture Deferral</w:t>
      </w:r>
      <w:r>
        <w:t xml:space="preserve"> </w:t>
      </w:r>
      <w:r>
        <w:t xml:space="preserve">(GZ-CMD),</w:t>
      </w:r>
      <w:r>
        <w:t xml:space="preserve"> </w:t>
      </w:r>
      <w:r>
        <w:rPr>
          <w:i/>
          <w:iCs/>
        </w:rPr>
        <w:t xml:space="preserve">framework</w:t>
      </w:r>
      <w:r>
        <w:t xml:space="preserve"> </w:t>
      </w:r>
      <w:r>
        <w:t xml:space="preserve">auto-calibrável. Sua arquitetura integra calibração probabilística por conjuntos âncora (</w:t>
      </w:r>
      <w:r>
        <w:rPr>
          <w:i/>
          <w:iCs/>
        </w:rPr>
        <w:t xml:space="preserve">Platt scaling</w:t>
      </w:r>
      <w:r>
        <w:t xml:space="preserve">), política de decisão em três vias fundamentada em</w:t>
      </w:r>
      <w:r>
        <w:t xml:space="preserve"> </w:t>
      </w:r>
      <w:r>
        <w:rPr>
          <w:i/>
          <w:iCs/>
        </w:rPr>
        <w:t xml:space="preserve">expected loss</w:t>
      </w:r>
      <w:r>
        <w:t xml:space="preserve"> </w:t>
      </w:r>
      <w:r>
        <w:t xml:space="preserve">com custos assimétricos e revisão assistida por modelo de linguagem de grande porte, em arquitetura de duplo agente com árbitro. No modo vigilância, o GZ-CMD alcançou</w:t>
      </w:r>
      <w:r>
        <w:t xml:space="preserve"> </w:t>
      </w:r>
      <m:oMath>
        <m:sSub>
          <m:e>
            <m:r>
              <m:t>F</m:t>
            </m:r>
          </m:e>
          <m:sub>
            <m:r>
              <m:t>1</m:t>
            </m:r>
          </m:sub>
        </m:sSub>
        <m:r>
          <m:rPr>
            <m:sty m:val="p"/>
          </m:rPr>
          <m:t>=</m:t>
        </m:r>
        <m:r>
          <m:t>0</m:t>
        </m:r>
        <m:r>
          <m:rPr>
            <m:sty m:val="p"/>
          </m:rPr>
          <m:t>,</m:t>
        </m:r>
        <m:r>
          <m:t>954</m:t>
        </m:r>
      </m:oMath>
      <w:r>
        <w:t xml:space="preserve">; no modo confirmação, precisão de 0,957 (</w:t>
      </w:r>
      <m:oMath>
        <m:sSub>
          <m:e>
            <m:r>
              <m:t>F</m:t>
            </m:r>
          </m:e>
          <m:sub>
            <m:r>
              <m:t>1</m:t>
            </m:r>
          </m:sub>
        </m:sSub>
        <m:r>
          <m:rPr>
            <m:sty m:val="p"/>
          </m:rPr>
          <m:t>=</m:t>
        </m:r>
        <m:r>
          <m:t>0</m:t>
        </m:r>
        <m:r>
          <m:rPr>
            <m:sty m:val="p"/>
          </m:rPr>
          <m:t>,</m:t>
        </m:r>
        <m:r>
          <m:t>942</m:t>
        </m:r>
      </m:oMath>
      <w:r>
        <w:t xml:space="preserve">). A cascata completa, composta por limiares Fellegi–Sunter, regras de guarda determinísticas,</w:t>
      </w:r>
      <w:r>
        <w:t xml:space="preserve"> </w:t>
      </w:r>
      <w:r>
        <w:rPr>
          <w:i/>
          <w:iCs/>
        </w:rPr>
        <w:t xml:space="preserve">expected loss engine</w:t>
      </w:r>
      <w:r>
        <w:t xml:space="preserve"> </w:t>
      </w:r>
      <w:r>
        <w:t xml:space="preserve">e revisão</w:t>
      </w:r>
      <w:r>
        <w:t xml:space="preserve"> </w:t>
      </w:r>
      <w:r>
        <w:rPr>
          <w:i/>
          <w:iCs/>
        </w:rPr>
        <w:t xml:space="preserve">dual-agent</w:t>
      </w:r>
      <w:r>
        <w:t xml:space="preserve"> </w:t>
      </w:r>
      <w:r>
        <w:t xml:space="preserve">por modelo de linguagem, reduziu a revisão clerical humana de 21.620 para 41 pares (redução de 99,8%, aproximadamente três ordens de grandeza). No modo vigilância, o tempo total de processamento foi de 18 minutos. Os artefatos produzidos, incluindo o comparador de registros em código aberto, o GZ-CMD como pacote Python distribuível e um</w:t>
      </w:r>
      <w:r>
        <w:t xml:space="preserve"> </w:t>
      </w:r>
      <w:r>
        <w:rPr>
          <w:i/>
          <w:iCs/>
        </w:rPr>
        <w:t xml:space="preserve">benchmark</w:t>
      </w:r>
      <w:r>
        <w:t xml:space="preserve"> </w:t>
      </w:r>
      <w:r>
        <w:t xml:space="preserve">anonimizado preparado para depósito em repositório de dados científicos, foram disponibilizados para viabilizar a reprodutibilidade e a auditabilidade dos protocolos propostos.</w:t>
      </w:r>
    </w:p>
    <w:p>
      <w:pPr>
        <w:pStyle w:val="BodyText"/>
      </w:pPr>
      <w:r>
        <w:rPr>
          <w:b/>
          <w:bCs/>
        </w:rPr>
        <w:t xml:space="preserve">Palavras-chave:</w:t>
      </w:r>
      <w:r>
        <w:t xml:space="preserve"> </w:t>
      </w:r>
      <w:r>
        <w:rPr>
          <w:i/>
          <w:iCs/>
        </w:rPr>
        <w:t xml:space="preserve">Linkage</w:t>
      </w:r>
      <w:r>
        <w:t xml:space="preserve"> </w:t>
      </w:r>
      <w:r>
        <w:t xml:space="preserve">probabilístico. Aprendizado de máquina. Desbalanceamento de classes. Pós-processamento. Tuberculose. Mortalidade. Vigilância em saúde. Modelos de linguagem. Zona cinzenta.</w:t>
      </w:r>
    </w:p>
    <w:p>
      <w:pPr>
        <w:pStyle w:val="BodyText"/>
      </w:pPr>
    </w:p>
    <w:p>
      <w:pPr>
        <w:pStyle w:val="BodyText"/>
      </w:pPr>
      <w:r>
        <w:rPr>
          <w:b/>
          <w:bCs/>
        </w:rPr>
        <w:t xml:space="preserve">Abstract</w:t>
      </w:r>
      <w:r>
        <w:br/>
      </w:r>
      <w:r>
        <w:t xml:space="preserve"> </w:t>
      </w:r>
      <w:r>
        <w:rPr>
          <w:b/>
          <w:bCs/>
        </w:rPr>
        <w:t xml:space="preserve">Machine Learning Applied to Post-Processing of</w:t>
      </w:r>
      <w:r>
        <w:br/>
      </w:r>
      <w:r>
        <w:rPr>
          <w:b/>
          <w:bCs/>
        </w:rPr>
        <w:t xml:space="preserve">Probabilistic Record Linkage of Health Databases</w:t>
      </w:r>
      <w:r>
        <w:br/>
      </w:r>
      <w:r>
        <w:t xml:space="preserve"> </w:t>
      </w:r>
      <w:r>
        <w:rPr>
          <w:b/>
          <w:bCs/>
        </w:rPr>
        <w:t xml:space="preserve">Marco Elisio Oliveira Jardim</w:t>
      </w:r>
      <w:r>
        <w:br/>
      </w:r>
      <w:r>
        <w:t xml:space="preserve"> </w:t>
      </w:r>
      <w:r>
        <w:rPr>
          <w:b/>
          <w:bCs/>
        </w:rPr>
        <w:t xml:space="preserve">Advisor: Rejane Sobrino Pinheiro</w:t>
      </w:r>
      <w:r>
        <w:br/>
      </w:r>
    </w:p>
    <w:p>
      <w:pPr>
        <w:pStyle w:val="BodyText"/>
      </w:pPr>
      <w:r>
        <w:rPr>
          <w:i/>
          <w:iCs/>
        </w:rPr>
        <w:t xml:space="preserve">Abstract</w:t>
      </w:r>
      <w:r>
        <w:t xml:space="preserve"> </w:t>
      </w:r>
      <w:r>
        <w:t xml:space="preserve">da Tese de Doutorado apresentada ao Programa de Pós-Graduação em Saúde Coletiva do Instituto de Estudos em Saúde Coletiva da Universidade Federal do Rio de Janeiro - UFRJ, como parte dos requisitos necessários à obtenção do título de Doutor em Ciências (Saúde Coletiva).</w:t>
      </w:r>
    </w:p>
    <w:p>
      <w:pPr>
        <w:pStyle w:val="BodyText"/>
      </w:pPr>
      <w:r>
        <w:t xml:space="preserve">Probabilistic record linkage of health databases enables the integration of individual records dispersed across multiple information systems, constituting an indispensable resource for epidemiological surveillance in Brazil. Classification of the candidate pairs generated by this process remains, however, dependent on fixed thresholds applied to aggregate similarity scores, yielding an indecision band (the grey zone) whose undecidable pairs require manual clerical review, a procedure that is time-consuming, poorly scalable, and subject to inter-rater variability. This limitation is particularly critical in probabilistic linkage between the Mortality Information System (SIM) and the Tuberculosis Notifiable Diseases Information System (Sinan-TB). Tuberculosis is a tracer condition for quality of healthcare and remains substantially underreported in Brazilian surveillance systems, compromising the assessment of control programme effectiveness and the estimation of the true disease burden.</w:t>
      </w:r>
    </w:p>
    <w:p>
      <w:pPr>
        <w:pStyle w:val="BodyText"/>
      </w:pPr>
      <w:r>
        <w:t xml:space="preserve">A configurable machine learning post-processing framework was proposed and evaluated for the automated classification of grey-zone pairs produced by probabilistic record linkage of the SIM and Sinan-TB in the city of Rio de Janeiro, covering the period from 2013 to 2022 and SIM records covering deaths from 2019 to 2022. The experimental dataset comprised 61,696 candidate pairs generated by OpenRecLink and scored by a record comparator producing 29 field-level similarity sub-scores and an aggregate score, against a gold standard of 247 true pairs (class imbalance ratio approximately 1:249). An ablation study compared six supervised classifiers (Logistic Regression, Random Forest, XGBoost, LightGBM, Support Vector Machine, and Multilayer Perceptron) combined with nine class-balancing strategies (SMOTE, Borderline-SMOTE, ADASYN, SMOTE-Tomek, class weighting, and variants), yielding 70 experimental configurations. Five classifiers were subsequently retained for an extended comparison that incorporated TabNet as a representative of tabular deep learning.</w:t>
      </w:r>
    </w:p>
    <w:p>
      <w:pPr>
        <w:pStyle w:val="BodyText"/>
      </w:pPr>
      <w:r>
        <w:t xml:space="preserve">Supervised post-processing achieved a 32 percentage-point improvement over the conventional threshold: Random Forest with SMOTE at classification threshold 0.5 attained</w:t>
      </w:r>
      <w:r>
        <w:t xml:space="preserve"> </w:t>
      </w:r>
      <m:oMath>
        <m:sSub>
          <m:e>
            <m:r>
              <m:t>F</m:t>
            </m:r>
          </m:e>
          <m:sub>
            <m:r>
              <m:t>1</m:t>
            </m:r>
          </m:sub>
        </m:sSub>
        <m:r>
          <m:rPr>
            <m:sty m:val="p"/>
          </m:rPr>
          <m:t>=</m:t>
        </m:r>
        <m:r>
          <m:t>0.931</m:t>
        </m:r>
      </m:oMath>
      <w:r>
        <w:t xml:space="preserve">, compared with</w:t>
      </w:r>
      <w:r>
        <w:t xml:space="preserve"> </w:t>
      </w:r>
      <m:oMath>
        <m:sSub>
          <m:e>
            <m:r>
              <m:t>F</m:t>
            </m:r>
          </m:e>
          <m:sub>
            <m:r>
              <m:t>1</m:t>
            </m:r>
          </m:sub>
        </m:sSub>
        <m:r>
          <m:rPr>
            <m:sty m:val="p"/>
          </m:rPr>
          <m:t>=</m:t>
        </m:r>
        <m:r>
          <m:t>0.610</m:t>
        </m:r>
      </m:oMath>
      <w:r>
        <w:t xml:space="preserve"> </w:t>
      </w:r>
      <w:r>
        <w:t xml:space="preserve">for the fixed threshold</w:t>
      </w:r>
      <w:r>
        <w:t xml:space="preserve"> </w:t>
      </w:r>
      <m:oMath>
        <m:r>
          <m:rPr>
            <m:sty m:val="p"/>
          </m:rPr>
          <m:t>≥</m:t>
        </m:r>
        <m:r>
          <m:t>8</m:t>
        </m:r>
      </m:oMath>
      <w:r>
        <w:t xml:space="preserve"> </w:t>
      </w:r>
      <w:r>
        <w:t xml:space="preserve">applied to the aggregate score. XGBoost exhibited equivalent or superior performance (</w:t>
      </w:r>
      <m:oMath>
        <m:sSub>
          <m:e>
            <m:r>
              <m:t>F</m:t>
            </m:r>
          </m:e>
          <m:sub>
            <m:r>
              <m:t>1</m:t>
            </m:r>
          </m:sub>
        </m:sSub>
        <m:r>
          <m:rPr>
            <m:sty m:val="p"/>
          </m:rPr>
          <m:t>=</m:t>
        </m:r>
        <m:r>
          <m:t>0.943</m:t>
        </m:r>
      </m:oMath>
      <w:r>
        <w:t xml:space="preserve"> </w:t>
      </w:r>
      <w:r>
        <w:t xml:space="preserve">on the independent evaluation set;</w:t>
      </w:r>
      <w:r>
        <w:t xml:space="preserve"> </w:t>
      </w:r>
      <m:oMath>
        <m:r>
          <m:t>0.924</m:t>
        </m:r>
        <m:r>
          <m:rPr>
            <m:sty m:val="p"/>
          </m:rPr>
          <m:t>±</m:t>
        </m:r>
        <m:r>
          <m:t>0.030</m:t>
        </m:r>
      </m:oMath>
      <w:r>
        <w:t xml:space="preserve"> </w:t>
      </w:r>
      <w:r>
        <w:t xml:space="preserve">in five-fold cross-validation) and was adopted as the framework’s default classifier. Sensitivity analysis across the nine balancing strategies demonstrated that classifiers maintained</w:t>
      </w:r>
      <w:r>
        <w:t xml:space="preserve"> </w:t>
      </w:r>
      <m:oMath>
        <m:sSub>
          <m:e>
            <m:r>
              <m:t>F</m:t>
            </m:r>
          </m:e>
          <m:sub>
            <m:r>
              <m:t>1</m:t>
            </m:r>
          </m:sub>
        </m:sSub>
      </m:oMath>
      <w:r>
        <w:t xml:space="preserve"> </w:t>
      </w:r>
      <w:r>
        <w:t xml:space="preserve">in the range 0.880–0.918, indicating robustness to the choice of resampling method. SHAP-based interpretation identified the aggregate score, the number of matching names, and the exact-name indicator as the features of highest discriminative power, with mother’s name predominating in grey-zone decisions. A fairness analysis grounded in the equalized-odds criterion revealed homogeneous true positive rates across demographic and similarity subgroups, with positive predictive value disparities attributable to between-subgroup prevalence differences rather than discriminatory model bias. From an epidemiological standpoint, the maximum-recall pipeline recovered 24 additional tuberculosis deaths (</w:t>
      </w:r>
      <m:oMath>
        <m:r>
          <m:rPr>
            <m:sty m:val="p"/>
          </m:rPr>
          <m:t>+</m:t>
        </m:r>
      </m:oMath>
      <w:r>
        <w:t xml:space="preserve">55.8%), at an operational cost of approximately 1.0 manual review per detected death.</w:t>
      </w:r>
    </w:p>
    <w:p>
      <w:pPr>
        <w:pStyle w:val="BodyText"/>
      </w:pPr>
      <w:r>
        <w:t xml:space="preserve">The configurable framework delivers two pre-configured operational pipelines, one oriented to surveillance (prioritizing sensitivity) and another to high-confidence confirmation (prioritizing precision). These pipelines are articulated through a Pareto frontier, enabling health managers and researchers to explicitly calibrate the trade-off between sensitivity and specificity according to the application objective. As an operational extension, the Grey-Zone Cost-based Mixture Deferral (GZ-CMD) was proposed as a self-calibrating framework. It integrates anchor-based probabilistic calibration (Platt scaling), a three-way expected-loss decision policy with asymmetric misclassification costs, and large language model-assisted review under a dual-agent arbitration architecture. In surveillance mode, GZ-CMD achieved</w:t>
      </w:r>
      <w:r>
        <w:t xml:space="preserve"> </w:t>
      </w:r>
      <m:oMath>
        <m:sSub>
          <m:e>
            <m:r>
              <m:t>F</m:t>
            </m:r>
          </m:e>
          <m:sub>
            <m:r>
              <m:t>1</m:t>
            </m:r>
          </m:sub>
        </m:sSub>
        <m:r>
          <m:rPr>
            <m:sty m:val="p"/>
          </m:rPr>
          <m:t>=</m:t>
        </m:r>
        <m:r>
          <m:t>0.954</m:t>
        </m:r>
      </m:oMath>
      <w:r>
        <w:t xml:space="preserve">; in confirmation mode, precision of 0.957 (</w:t>
      </w:r>
      <m:oMath>
        <m:sSub>
          <m:e>
            <m:r>
              <m:t>F</m:t>
            </m:r>
          </m:e>
          <m:sub>
            <m:r>
              <m:t>1</m:t>
            </m:r>
          </m:sub>
        </m:sSub>
        <m:r>
          <m:rPr>
            <m:sty m:val="p"/>
          </m:rPr>
          <m:t>=</m:t>
        </m:r>
        <m:r>
          <m:t>0.942</m:t>
        </m:r>
      </m:oMath>
      <w:r>
        <w:t xml:space="preserve">). The full filtering cascade, comprising Fellegi-Sunter thresholds, deterministic guardrails, an expected-loss engine, and dual-agent LLM review, reduced the human clerical review workload from 21,620 to 41 pairs (99.8% reduction, approximately three orders of magnitude). Total pipeline processing time was approximately 18 minutes in surveillance mode. Study artifacts, including an open-source record comparator, the GZ-CMD distributable Python package, and an anonymized benchmark dataset prepared for deposit in a scientific data repository, were released to support the reproducibility and generalizability of the proposed approaches.</w:t>
      </w:r>
    </w:p>
    <w:p>
      <w:pPr>
        <w:pStyle w:val="BodyText"/>
      </w:pPr>
      <w:r>
        <w:rPr>
          <w:b/>
          <w:bCs/>
        </w:rPr>
        <w:t xml:space="preserve">Keywords:</w:t>
      </w:r>
      <w:r>
        <w:t xml:space="preserve"> </w:t>
      </w:r>
      <w:r>
        <w:t xml:space="preserve">Probabilistic record linkage. Machine learning. Class imbalance. Post-processing. Tuberculosis. Mortality. Health surveillance. Large language models. Grey zone.</w:t>
      </w:r>
    </w:p>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2026-02-26T04:31:56Z</dcterms:created>
  <dcterms:modified xsi:type="dcterms:W3CDTF">2026-02-26T04:31:56Z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graphy">
    <vt:lpwstr/>
  </property>
</Properties>
</file>