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Vorndran und Brennstetter Rechtsanwaelte mbB</w:t>
      </w:r>
    </w:p>
    <w:p>
      <w:pPr>
        <w:jc w:val="center"/>
      </w:pPr>
      <w:r>
        <w:t>Hauptstr. 41, 91054 Erlangen</w:t>
      </w:r>
    </w:p>
    <w:p>
      <w:r/>
    </w:p>
    <w:p>
      <w:r>
        <w:rPr>
          <w:b/>
        </w:rPr>
        <w:t>Oberlandesgericht Nuernberg</w:t>
      </w:r>
    </w:p>
    <w:p>
      <w:r>
        <w:t>7. Familiensenat</w:t>
      </w:r>
    </w:p>
    <w:p>
      <w:r>
        <w:t>Fuerther Str. 110</w:t>
      </w:r>
    </w:p>
    <w:p>
      <w:r>
        <w:t>90429 Nuernberg</w:t>
      </w:r>
    </w:p>
    <w:p>
      <w:r/>
    </w:p>
    <w:p>
      <w:r>
        <w:t>Erlangen, 22.05.2022</w:t>
      </w:r>
    </w:p>
    <w:p>
      <w:r/>
    </w:p>
    <w:p>
      <w:r>
        <w:rPr>
          <w:b/>
        </w:rPr>
        <w:t>Az. 7 UF 743/22 (AG Nuernberg-Fuerth 110 F 2418/21)</w:t>
      </w:r>
    </w:p>
    <w:p>
      <w:r>
        <w:t>In der Familiensache Dr. Maximilian Schaefer ./. Leonie Schaefer</w:t>
      </w:r>
    </w:p>
    <w:p>
      <w:r/>
    </w:p>
    <w:p>
      <w:pPr>
        <w:pStyle w:val="Heading1"/>
      </w:pPr>
      <w:r>
        <w:rPr>
          <w:rFonts w:ascii="Calibri" w:hAnsi="Calibri"/>
        </w:rPr>
        <w:t>Beschwerdebegruendung</w:t>
      </w:r>
    </w:p>
    <w:p>
      <w:r>
        <w:t>In der vorbezeichneten Familiensache wird namens und im Auftrag des Antragstellers und Beschwerdefuehrers Beschwerdebegruendung wie folgt eingelegt.</w:t>
      </w:r>
    </w:p>
    <w:p>
      <w:r/>
    </w:p>
    <w:p>
      <w:pPr>
        <w:pStyle w:val="Heading2"/>
      </w:pPr>
      <w:r>
        <w:rPr>
          <w:rFonts w:ascii="Calibri" w:hAnsi="Calibri"/>
        </w:rPr>
        <w:t>1. Antraege</w:t>
      </w:r>
    </w:p>
    <w:p>
      <w:r>
        <w:t>Wir beantragen,</w:t>
      </w:r>
    </w:p>
    <w:p>
      <w:r>
        <w:t>1. den Beschluss des Amtsgerichts Nuernberg - Familiengericht - vom 28.02.2022, Az. 110 F 2418/21, in den Ziffern 2 und 3 abzuaendern;</w:t>
      </w:r>
    </w:p>
    <w:p>
      <w:r>
        <w:t>2. den Versorgungsausgleich nach § 27 VersAusglG vollstaendig auszuschliessen;</w:t>
      </w:r>
    </w:p>
    <w:p>
      <w:r>
        <w:t>3. hilfsweise: den Versorgungsausgleich auf die Haelfte zu reduzieren;</w:t>
      </w:r>
    </w:p>
    <w:p>
      <w:r>
        <w:t>4. die Kosten des Verfahrens der Antragsgegnerin aufzuerlegen.</w:t>
      </w:r>
    </w:p>
    <w:p>
      <w:r/>
    </w:p>
    <w:p>
      <w:pPr>
        <w:pStyle w:val="Heading2"/>
      </w:pPr>
      <w:r>
        <w:rPr>
          <w:rFonts w:ascii="Calibri" w:hAnsi="Calibri"/>
        </w:rPr>
        <w:t>2. Sachverhalt</w:t>
      </w:r>
    </w:p>
    <w:p>
      <w:r>
        <w:t>2.1 Vermoegensverhaeltnisse der Antragsgegnerin</w:t>
      </w:r>
    </w:p>
    <w:p>
      <w:r>
        <w:t>Die Antragsgegnerin verfuegt seit der Erbschaft nach ihrem Onkel Theodor Winterstein 14.03.2019 ueber Reinvermoegen von ca. 6,9 Mio. EUR. Die Mieteinnahmen aus den geerbten drei Immobilien betragen brutto 23.300 EUR monatlich. Zusammen mit den Dividenden aus dem Wertpapierdepot ergibt sich ein laufender Brutto-Einkommensstrom von ueber 28.000 EUR monatlich.</w:t>
      </w:r>
    </w:p>
    <w:p>
      <w:r>
        <w:t>Beweis: Vorlage des Erbschaftsteuerbescheids des Finanzamts Bamberg vom 05.03.2020, Steuernummer 207/281/40918; Vorlage der Mietzahlungsuebersicht der Hausverwaltung Pirsch und Maerz GmbH Bamberg; Vorlage der Depotauszuege der DZ Privatbank Stand 31.12.2021.</w:t>
      </w:r>
    </w:p>
    <w:p>
      <w:r/>
    </w:p>
    <w:p>
      <w:r>
        <w:t>2.2 Vermoegensverhaeltnisse des Antragstellers</w:t>
      </w:r>
    </w:p>
    <w:p>
      <w:r>
        <w:t>Der Antragsteller verfuegt ueber Reinvermoegen von rund 195.000 EUR. Seine Praxis hat 2021 einen Jahresgewinn von 211.000 EUR vor Steuern ausgewiesen, mit fallender Tendenz. Im Februar 2020 ist beim Antragsteller eine schwere Coxarthrose diagnostiziert worden, die eine Praxisaufgabe in den naechsten 5-7 Jahren erfordert.</w:t>
      </w:r>
    </w:p>
    <w:p>
      <w:r>
        <w:t>Beweis: Bilanz Praxis 2018-2021 (Steuerberater Berthold Faulhammer); ICD-10 Diagnose M16.0 Coxarthrose Universitaetsklinik Erlangen Orthopaedie Dr. Stadlhuber 18.02.2020; Sachverstaendigengutachten Praxiswert.</w:t>
      </w:r>
    </w:p>
    <w:p>
      <w:r/>
    </w:p>
    <w:p>
      <w:r>
        <w:t>2.3 Gemeinsame Vermoegensplanung</w:t>
      </w:r>
    </w:p>
    <w:p>
      <w:r>
        <w:t>Die Beteiligten haben ueber Jahrzehnte eine gemeinsame Lebensplanung verfolgt: Der Antragsteller hat in der ersten Ehehaelfte (1987-2003) den groessten Teil der Familienlast getragen; die Antragsgegnerin hat den Aufbau der Praxis durch Steuererklaerungen, Praxis-Buchfuehrung und Akquise persoenlich unterstuetzt.</w:t>
      </w:r>
    </w:p>
    <w:p>
      <w:r>
        <w:t>Beweis: Aussage der Antragsgegnerin; Vernehmung von Steuerberater Faulhammer; Vorlage der Praxis-Buchfuehrungsunterlagen 1992-2004.</w:t>
      </w:r>
    </w:p>
    <w:p>
      <w:r/>
    </w:p>
    <w:p>
      <w:pPr>
        <w:pStyle w:val="Heading2"/>
      </w:pPr>
      <w:r>
        <w:rPr>
          <w:rFonts w:ascii="Calibri" w:hAnsi="Calibri"/>
        </w:rPr>
        <w:t>3. Rechtliche Wuerdigung</w:t>
      </w:r>
    </w:p>
    <w:p>
      <w:r>
        <w:t>Es liegt grobe Unbilligkeit i. S. d. § 27 VersAusglG vor. § 27 VersAusglG ist nach gefestigter Rechtsprechung des BGH (BGH FamRZ 2018, 1746; BGH FamRZ 2014, 1614; BGH FamRZ 2012, 1545) zwar eng auszulegen, aber gerade in Vermoegenskonstellationen einschlaegig, in denen die ausgleichsberechtigte Person bereits lebenslang abgesichert ist und die ausgleichspflichtige Person bei vollstaendiger Durchfuehrung in ihrer Altersversorgung erheblich beeintraechtigt wuerde.</w:t>
      </w:r>
    </w:p>
    <w:p>
      <w:r/>
    </w:p>
    <w:p>
      <w:r>
        <w:t>Dies ist hier der Fall:</w:t>
      </w:r>
    </w:p>
    <w:p>
      <w:r>
        <w:t>1. Die Antragsgegnerin ist durch das ererbte Vermoegen wirtschaftlich vollstaendig abgesichert.</w:t>
      </w:r>
    </w:p>
    <w:p>
      <w:r>
        <w:t>2. Der Antragsteller ist auf seine Anrechte bei der Bayerischen Aerzteversorgung als Hauptsaeule seiner Alterssicherung angewiesen.</w:t>
      </w:r>
    </w:p>
    <w:p>
      <w:r>
        <w:t>3. Die Halbierung der Bayerischen-Aerzteversorgung-Rente von 4.127 EUR auf rund 2.063 EUR wuerde die Existenzgrundlage des Antragstellers in der Praxis-Abschlussphase und in der Rentenphase erheblich gefaehrden.</w:t>
      </w:r>
    </w:p>
    <w:p>
      <w:r>
        <w:t>4. § 8 der notariellen Vereinbarung 11.11.2021 hindert die Anwendung des § 27 nicht. Selbst wenn man annehmen wollte, dass der dort vereinbarte pauschale Zugewinnausgleich (385.000 EUR) bereits eine Beruecksichtigung der Vermoegensverhaeltnisse darstellt, schliesst dies eine zusaetzliche Korrektur ueber § 27 VersAusglG nicht aus.</w:t>
      </w:r>
    </w:p>
    <w:p>
      <w:r/>
    </w:p>
    <w:p>
      <w:r>
        <w:t>Mit kollegialen Gruessen</w:t>
      </w:r>
    </w:p>
    <w:p>
      <w:r/>
    </w:p>
    <w:p>
      <w:r>
        <w:t>Andreas Vorndran</w:t>
      </w:r>
    </w:p>
    <w:p>
      <w:r>
        <w:t>Rechtsanwalt, Fachanwalt fuer Familienrecht</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