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Mandantenbrief - Erläuterung der Unterhaltsvarianten</w:t>
      </w:r>
    </w:p>
    <w:p>
      <w:pPr>
        <w:pStyle w:val="Heading2"/>
      </w:pPr>
      <w:r>
        <w:t>Ausgangspunkt</w:t>
      </w:r>
    </w:p>
    <w:p>
      <w:r>
        <w:t>Wir rechnen zunächst mit den belegten Nettoeinkommen, bereinigen berufsbedingte Aufwendungen und berücksichtigen den Kindesunterhalt vor dem Ehegattenunterhalt.</w:t>
      </w:r>
    </w:p>
    <w:p>
      <w:pPr>
        <w:pStyle w:val="Heading2"/>
      </w:pPr>
      <w:r>
        <w:t>Warum mehrere Varianten?</w:t>
      </w:r>
    </w:p>
    <w:p>
      <w:r>
        <w:t>Der Wohnwert und Ihre mögliche Stundenaufstockung verändern den Zahlbetrag deutlich. Deshalb ist eine einzige Zahl für die Verhandlung weniger hilfreich als ein Korridor mit sauber benannten Annahmen.</w:t>
      </w:r>
    </w:p>
    <w:p>
      <w:pPr>
        <w:pStyle w:val="Heading2"/>
      </w:pPr>
      <w:r>
        <w:t>Nächster Schritt</w:t>
      </w:r>
    </w:p>
    <w:p>
      <w:r>
        <w:t>Wir schlagen vor, den Vergleich mit einer Anpassungsklausel zu versehen, damit Bonus, Steuerklasse und Betreuungsentwicklung nicht jedes Mal ein neues Verfahren auslösen.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