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Unterhaltsvergleich Aiblinger - Entwurf</w:t>
      </w:r>
    </w:p>
    <w:p>
      <w:pPr>
        <w:pStyle w:val="Heading2"/>
      </w:pPr>
      <w:r>
        <w:t>Kindesunterhalt</w:t>
      </w:r>
    </w:p>
    <w:p>
      <w:r>
        <w:t>Der Kindesunterhalt wird dynamisiert nach der Düsseldorfer Tabelle 2026 gezahlt. Das Kindergeld wird nach den gesetzlichen Regeln angerechnet. Mehrbedarf wird nach Einkommensquote getragen.</w:t>
      </w:r>
    </w:p>
    <w:p>
      <w:pPr>
        <w:pStyle w:val="Heading2"/>
      </w:pPr>
      <w:r>
        <w:t>Trennungsunterhalt</w:t>
      </w:r>
    </w:p>
    <w:p>
      <w:r>
        <w:t>Tobias zahlt vorläufig Trennungsunterhalt in zwei Stufen: bis August 2026 nach aktuellem Einkommen Mira, ab September 2026 unter Berücksichtigung der geplanten Stundenaufstockung.</w:t>
      </w:r>
    </w:p>
    <w:p>
      <w:pPr>
        <w:pStyle w:val="Heading2"/>
      </w:pPr>
      <w:r>
        <w:t>Anpassung</w:t>
      </w:r>
    </w:p>
    <w:p>
      <w:r>
        <w:t>Bonuszahlungen, Steuerklassenwechsel, Wohnwert und wesentliche Änderungen der Betreuung werden jeweils zum Folgemonat nach Nachweis neu berechnet.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