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Aufforderung zur Auskunft und Belegvorlage</w:t>
      </w:r>
    </w:p>
    <w:p>
      <w:pPr>
        <w:pStyle w:val="Heading2"/>
      </w:pPr>
      <w:r>
        <w:t>Sachverhalt</w:t>
      </w:r>
    </w:p>
    <w:p>
      <w:r>
        <w:t>Die Beteiligten leben seit dem 18.01.2026 getrennt. Die gemeinsamen Kinder Tilda und Bent leben im Haushalt von Frau Harms. Herr Harms hat seine laufenden Zahlungen seit April 2026 auf 900,00 EUR reduziert.</w:t>
      </w:r>
    </w:p>
    <w:p>
      <w:pPr>
        <w:pStyle w:val="Heading2"/>
      </w:pPr>
      <w:r>
        <w:t>Anforderung</w:t>
      </w:r>
    </w:p>
    <w:p>
      <w:r>
        <w:t>Herr Harms wird aufgefordert, bis zum 28.06.2026 vollständige Auskunft über seine Einkünfte aus Geschäftsführertätigkeit, Gewinnausschüttungen, Privatentnahmen, Firmenwagennutzung und Vermietung zu erteilen und die bezeichneten Belege vorzulegen.</w:t>
      </w:r>
    </w:p>
    <w:p>
      <w:pPr>
        <w:pStyle w:val="Heading2"/>
      </w:pPr>
      <w:r>
        <w:t>Folgen</w:t>
      </w:r>
    </w:p>
    <w:p>
      <w:r>
        <w:t>Nach fruchtlosem Fristablauf wird gerichtliche Auskunft im Wege des Stufenantrags sowie vorläufiger Unterhalt geltend gemacht.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