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Stufenantrag Unterhalt Harms - Entwurf</w:t>
      </w:r>
    </w:p>
    <w:p>
      <w:pPr>
        <w:pStyle w:val="Heading2"/>
      </w:pPr>
      <w:r>
        <w:t>Anträge</w:t>
      </w:r>
    </w:p>
    <w:p>
      <w:r>
        <w:t>Der Antragsgegner wird zur Auskunft, Belegvorlage und gegebenenfalls Versicherung an Eides statt verpflichtet. Die Bezifferung des Kindes- und Trennungsunterhalts bleibt nach Auskunftserteilung vorbehalten.</w:t>
      </w:r>
    </w:p>
    <w:p>
      <w:pPr>
        <w:pStyle w:val="Heading2"/>
      </w:pPr>
      <w:r>
        <w:t>Begründung</w:t>
      </w:r>
    </w:p>
    <w:p>
      <w:r>
        <w:t>Die bisherige Teil-BWA ist zur Ermittlung des unterhaltsrechtlich relevanten Einkommens eines selbstständigen Geschäftsführers unzureichend. Die Zahlungsreduzierung ist nicht nachvollziehbar.</w:t>
      </w:r>
    </w:p>
    <w:p>
      <w:pPr>
        <w:pStyle w:val="Heading2"/>
      </w:pPr>
      <w:r>
        <w:t>Eilbedürftigkeit</w:t>
      </w:r>
    </w:p>
    <w:p>
      <w:r>
        <w:t>Die Antragstellerin trägt Miete, Hort, Nachhilfe und laufenden Kindesbedarf überwiegend allein. Die bisherigen Zahlungen reichen zur Deckung des notwendigen Bedarfs nicht aus.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