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-Funcionários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-Clientes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-Fornecedor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-Alunos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-Produtos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-Lucros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-Alunos desenvolvem a solução.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-Produtos são afetados pelo sistema de controle de estoque.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-Lucros são afetados pelo sistema de pagamento.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-Funcionários utilizarão o sistema para controle de pagamento e estoque.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-Clientes utilizarão o sistema de pagamento.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Lista de usuários e outros stakeholders.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