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N01: Gerenciamento de venda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N02: Software de controle e monitoração de estoque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N03: Sistema de comandas integrado ao software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N04: Relatório de lucros mensais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N05: Relatório de vendas diárias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N06: Controle dos funcionários</w:t>
      </w:r>
    </w:p>
    <w:p w:rsidR="00000000" w:rsidDel="00000000" w:rsidP="00000000" w:rsidRDefault="00000000" w:rsidRPr="00000000" w14:paraId="00000009">
      <w:pPr>
        <w:spacing w:after="0" w:line="24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2619"/>
        <w:gridCol w:w="757"/>
        <w:gridCol w:w="757"/>
        <w:gridCol w:w="757"/>
        <w:gridCol w:w="757"/>
        <w:gridCol w:w="707"/>
        <w:gridCol w:w="640"/>
        <w:tblGridChange w:id="0">
          <w:tblGrid>
            <w:gridCol w:w="1500"/>
            <w:gridCol w:w="2619"/>
            <w:gridCol w:w="757"/>
            <w:gridCol w:w="757"/>
            <w:gridCol w:w="757"/>
            <w:gridCol w:w="757"/>
            <w:gridCol w:w="707"/>
            <w:gridCol w:w="640"/>
          </w:tblGrid>
        </w:tblGridChange>
      </w:tblGrid>
      <w:tr>
        <w:tc>
          <w:tcPr>
            <w:shd w:fill="ffe599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NO1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NO2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NO3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NO4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NO5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N06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Cadastro de clientes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Cadastro de fornecedores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produtos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Cadastro de funcionário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Relatório mensal de gastos e lucros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