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1.0" w:type="dxa"/>
        <w:jc w:val="left"/>
        <w:tblLayout w:type="fixed"/>
        <w:tblLook w:val="00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rHeight w:val="508" w:hRule="atLeast"/>
          <w:tblHeader w:val="0"/>
        </w:trPr>
        <w:tc>
          <w:tcPr>
            <w:tcBorders>
              <w:top w:color="4c4c4c" w:space="0" w:sz="4" w:val="single"/>
              <w:left w:color="4c4c4c" w:space="0" w:sz="4" w:val="single"/>
              <w:bottom w:color="4c4c4c" w:space="0" w:sz="4" w:val="single"/>
              <w:right w:color="4c4c4c" w:space="0" w:sz="4" w:val="single"/>
            </w:tcBorders>
            <w:shd w:fill="051933" w:val="clear"/>
            <w:tcMar>
              <w:top w:w="170.0" w:type="dxa"/>
              <w:left w:w="142.0" w:type="dxa"/>
              <w:bottom w:w="170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57" w:before="113" w:line="288" w:lineRule="auto"/>
              <w:jc w:val="center"/>
              <w:rPr>
                <w:b w:val="0"/>
                <w:color w:val="f2f2f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f2f2f2"/>
                <w:sz w:val="24"/>
                <w:szCs w:val="24"/>
                <w:vertAlign w:val="baseline"/>
                <w:rtl w:val="0"/>
              </w:rPr>
              <w:t xml:space="preserve">OS 5 PASSOS PARA A MUDANÇA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tcBorders>
              <w:top w:color="4c4c4c" w:space="0" w:sz="4" w:val="single"/>
              <w:left w:color="4c4c4c" w:space="0" w:sz="4" w:val="single"/>
              <w:bottom w:color="4c4c4c" w:space="0" w:sz="4" w:val="single"/>
              <w:right w:color="4c4c4c" w:space="0" w:sz="4" w:val="single"/>
            </w:tcBorders>
            <w:shd w:fill="ffffff" w:val="clear"/>
            <w:tcMar>
              <w:top w:w="170.0" w:type="dxa"/>
              <w:left w:w="142.0" w:type="dxa"/>
              <w:bottom w:w="170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57" w:before="113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Construindo uma carreira internacional</w:t>
            </w: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04">
            <w:pPr>
              <w:spacing w:after="57" w:before="113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Pense em como você quer efetivar esta mudança.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tcBorders>
              <w:top w:color="4c4c4c" w:space="0" w:sz="4" w:val="single"/>
              <w:left w:color="4c4c4c" w:space="0" w:sz="4" w:val="single"/>
              <w:bottom w:color="4c4c4c" w:space="0" w:sz="4" w:val="single"/>
              <w:right w:color="4c4c4c" w:space="0" w:sz="4" w:val="single"/>
            </w:tcBorders>
            <w:shd w:fill="051933" w:val="clear"/>
            <w:tcMar>
              <w:top w:w="170.0" w:type="dxa"/>
              <w:left w:w="142.0" w:type="dxa"/>
              <w:bottom w:w="170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57" w:before="113" w:lineRule="auto"/>
              <w:rPr>
                <w:b w:val="0"/>
                <w:color w:val="f2f2f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f2f2f2"/>
                <w:sz w:val="24"/>
                <w:szCs w:val="24"/>
                <w:vertAlign w:val="baseline"/>
                <w:rtl w:val="0"/>
              </w:rPr>
              <w:t xml:space="preserve">Passo 1: Descreva a situação como ela é, e não pior do que 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57" w:before="113" w:lineRule="auto"/>
              <w:rPr>
                <w:i w:val="0"/>
                <w:color w:val="f2f2f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color w:val="f2f2f2"/>
                <w:vertAlign w:val="baseline"/>
                <w:rtl w:val="0"/>
              </w:rPr>
              <w:t xml:space="preserve">Aqui você pode escrever seus pontos fortes e fracos para encarar a mudança.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4" w:hRule="atLeast"/>
          <w:tblHeader w:val="0"/>
        </w:trPr>
        <w:tc>
          <w:tcPr>
            <w:tcBorders>
              <w:top w:color="4c4c4c" w:space="0" w:sz="4" w:val="single"/>
              <w:left w:color="4c4c4c" w:space="0" w:sz="4" w:val="single"/>
              <w:bottom w:color="4c4c4c" w:space="0" w:sz="4" w:val="single"/>
              <w:right w:color="4c4c4c" w:space="0" w:sz="4" w:val="single"/>
            </w:tcBorders>
            <w:shd w:fill="ffffff" w:val="clear"/>
            <w:tcMar>
              <w:top w:w="170.0" w:type="dxa"/>
              <w:left w:w="142.0" w:type="dxa"/>
              <w:bottom w:w="170.0" w:type="dxa"/>
              <w:right w:w="142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tcBorders>
              <w:top w:color="4c4c4c" w:space="0" w:sz="4" w:val="single"/>
              <w:left w:color="4c4c4c" w:space="0" w:sz="4" w:val="single"/>
              <w:bottom w:color="4c4c4c" w:space="0" w:sz="4" w:val="single"/>
              <w:right w:color="4c4c4c" w:space="0" w:sz="4" w:val="single"/>
            </w:tcBorders>
            <w:shd w:fill="051933" w:val="clear"/>
            <w:tcMar>
              <w:top w:w="170.0" w:type="dxa"/>
              <w:left w:w="142.0" w:type="dxa"/>
              <w:bottom w:w="170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57" w:before="113" w:lineRule="auto"/>
              <w:rPr>
                <w:b w:val="0"/>
                <w:color w:val="f2f2f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f2f2f2"/>
                <w:sz w:val="24"/>
                <w:szCs w:val="24"/>
                <w:vertAlign w:val="baseline"/>
                <w:rtl w:val="0"/>
              </w:rPr>
              <w:t xml:space="preserve">Passo 2: Veja a verdade e a enfrente.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57" w:before="113" w:lineRule="auto"/>
              <w:rPr>
                <w:i w:val="0"/>
                <w:color w:val="f2f2f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color w:val="f2f2f2"/>
                <w:vertAlign w:val="baseline"/>
                <w:rtl w:val="0"/>
              </w:rPr>
              <w:t xml:space="preserve">Aqui admita as situações que são de sua responsabilidade nesta mudança, sem culpar outros.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4" w:hRule="atLeast"/>
          <w:tblHeader w:val="0"/>
        </w:trPr>
        <w:tc>
          <w:tcPr>
            <w:tcBorders>
              <w:top w:color="4c4c4c" w:space="0" w:sz="4" w:val="single"/>
              <w:left w:color="4c4c4c" w:space="0" w:sz="4" w:val="single"/>
              <w:bottom w:color="4c4c4c" w:space="0" w:sz="4" w:val="single"/>
              <w:right w:color="4c4c4c" w:space="0" w:sz="4" w:val="single"/>
            </w:tcBorders>
            <w:shd w:fill="ffffff" w:val="clear"/>
            <w:tcMar>
              <w:top w:w="170.0" w:type="dxa"/>
              <w:left w:w="142.0" w:type="dxa"/>
              <w:bottom w:w="170.0" w:type="dxa"/>
              <w:right w:w="14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57" w:before="113" w:lineRule="auto"/>
              <w:rPr>
                <w:i w:val="0"/>
                <w:color w:val="484848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tcBorders>
              <w:top w:color="4c4c4c" w:space="0" w:sz="4" w:val="single"/>
              <w:left w:color="4c4c4c" w:space="0" w:sz="4" w:val="single"/>
              <w:bottom w:color="4c4c4c" w:space="0" w:sz="4" w:val="single"/>
              <w:right w:color="4c4c4c" w:space="0" w:sz="4" w:val="single"/>
            </w:tcBorders>
            <w:shd w:fill="051933" w:val="clear"/>
            <w:tcMar>
              <w:top w:w="170.0" w:type="dxa"/>
              <w:left w:w="142.0" w:type="dxa"/>
              <w:bottom w:w="170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57" w:before="113" w:lineRule="auto"/>
              <w:rPr>
                <w:b w:val="0"/>
                <w:color w:val="f2f2f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f2f2f2"/>
                <w:sz w:val="24"/>
                <w:szCs w:val="24"/>
                <w:vertAlign w:val="baseline"/>
                <w:rtl w:val="0"/>
              </w:rPr>
              <w:t xml:space="preserve">Passo 3: Escreva uma visão inspiradora de futuro.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57" w:before="113" w:lineRule="auto"/>
              <w:rPr>
                <w:i w:val="0"/>
                <w:color w:val="f2f2f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color w:val="f2f2f2"/>
                <w:vertAlign w:val="baseline"/>
                <w:rtl w:val="0"/>
              </w:rPr>
              <w:t xml:space="preserve">Como você vê o seu futuro, qual a meta?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4" w:hRule="atLeast"/>
          <w:tblHeader w:val="0"/>
        </w:trPr>
        <w:tc>
          <w:tcPr>
            <w:tcBorders>
              <w:top w:color="4c4c4c" w:space="0" w:sz="4" w:val="single"/>
              <w:left w:color="4c4c4c" w:space="0" w:sz="4" w:val="single"/>
              <w:bottom w:color="4c4c4c" w:space="0" w:sz="4" w:val="single"/>
              <w:right w:color="4c4c4c" w:space="0" w:sz="4" w:val="single"/>
            </w:tcBorders>
            <w:shd w:fill="ffffff" w:val="clear"/>
            <w:tcMar>
              <w:top w:w="170.0" w:type="dxa"/>
              <w:left w:w="142.0" w:type="dxa"/>
              <w:bottom w:w="170.0" w:type="dxa"/>
              <w:right w:w="142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tcBorders>
              <w:top w:color="4c4c4c" w:space="0" w:sz="4" w:val="single"/>
              <w:left w:color="4c4c4c" w:space="0" w:sz="4" w:val="single"/>
              <w:bottom w:color="4c4c4c" w:space="0" w:sz="4" w:val="single"/>
              <w:right w:color="4c4c4c" w:space="0" w:sz="4" w:val="single"/>
            </w:tcBorders>
            <w:shd w:fill="051933" w:val="clear"/>
            <w:tcMar>
              <w:top w:w="170.0" w:type="dxa"/>
              <w:left w:w="142.0" w:type="dxa"/>
              <w:bottom w:w="170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57" w:before="113" w:lineRule="auto"/>
              <w:rPr>
                <w:b w:val="0"/>
                <w:color w:val="f2f2f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f2f2f2"/>
                <w:sz w:val="24"/>
                <w:szCs w:val="24"/>
                <w:vertAlign w:val="baseline"/>
                <w:rtl w:val="0"/>
              </w:rPr>
              <w:t xml:space="preserve">Passo 4: Quais as pessoas com quem vou aprender e qual a estratégia?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57" w:before="113" w:lineRule="auto"/>
              <w:rPr>
                <w:i w:val="0"/>
                <w:color w:val="f2f2f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color w:val="f2f2f2"/>
                <w:vertAlign w:val="baseline"/>
                <w:rtl w:val="0"/>
              </w:rPr>
              <w:t xml:space="preserve">Pense nas pessoas que podem lhe servir de modelo para a construção da sua carreira internacional.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4" w:hRule="atLeast"/>
          <w:tblHeader w:val="0"/>
        </w:trPr>
        <w:tc>
          <w:tcPr>
            <w:tcBorders>
              <w:top w:color="4c4c4c" w:space="0" w:sz="4" w:val="single"/>
              <w:left w:color="4c4c4c" w:space="0" w:sz="4" w:val="single"/>
              <w:bottom w:color="4c4c4c" w:space="0" w:sz="4" w:val="single"/>
              <w:right w:color="4c4c4c" w:space="0" w:sz="4" w:val="single"/>
            </w:tcBorders>
            <w:shd w:fill="ffffff" w:val="clear"/>
            <w:tcMar>
              <w:top w:w="170.0" w:type="dxa"/>
              <w:left w:w="142.0" w:type="dxa"/>
              <w:bottom w:w="170.0" w:type="dxa"/>
              <w:right w:w="142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tcBorders>
              <w:top w:color="4c4c4c" w:space="0" w:sz="4" w:val="single"/>
              <w:left w:color="4c4c4c" w:space="0" w:sz="4" w:val="single"/>
              <w:bottom w:color="4c4c4c" w:space="0" w:sz="4" w:val="single"/>
              <w:right w:color="4c4c4c" w:space="0" w:sz="4" w:val="single"/>
            </w:tcBorders>
            <w:shd w:fill="051933" w:val="clear"/>
            <w:tcMar>
              <w:top w:w="170.0" w:type="dxa"/>
              <w:left w:w="142.0" w:type="dxa"/>
              <w:bottom w:w="170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57" w:before="113" w:lineRule="auto"/>
              <w:rPr>
                <w:b w:val="0"/>
                <w:color w:val="f2f2f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f2f2f2"/>
                <w:sz w:val="24"/>
                <w:szCs w:val="24"/>
                <w:vertAlign w:val="baseline"/>
                <w:rtl w:val="0"/>
              </w:rPr>
              <w:t xml:space="preserve">Passo 5: Como se doará?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57" w:before="113" w:lineRule="auto"/>
              <w:rPr>
                <w:i w:val="0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color w:val="d9d9d9"/>
                <w:vertAlign w:val="baseline"/>
                <w:rtl w:val="0"/>
              </w:rPr>
              <w:t xml:space="preserve">O que precisa ser feito, sem esperar nada em troca?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4" w:hRule="atLeast"/>
          <w:tblHeader w:val="0"/>
        </w:trPr>
        <w:tc>
          <w:tcPr>
            <w:tcBorders>
              <w:top w:color="4c4c4c" w:space="0" w:sz="4" w:val="single"/>
              <w:left w:color="4c4c4c" w:space="0" w:sz="4" w:val="single"/>
              <w:bottom w:color="4c4c4c" w:space="0" w:sz="4" w:val="single"/>
              <w:right w:color="4c4c4c" w:space="0" w:sz="4" w:val="single"/>
            </w:tcBorders>
            <w:shd w:fill="ffffff" w:val="clear"/>
            <w:tcMar>
              <w:top w:w="170.0" w:type="dxa"/>
              <w:left w:w="142.0" w:type="dxa"/>
              <w:bottom w:w="170.0" w:type="dxa"/>
              <w:right w:w="142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jc w:val="center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Fonte:</w:t>
      </w:r>
      <w:r w:rsidDel="00000000" w:rsidR="00000000" w:rsidRPr="00000000">
        <w:rPr>
          <w:vertAlign w:val="baseline"/>
          <w:rtl w:val="0"/>
        </w:rPr>
        <w:t xml:space="preserve"> baseado em na obra </w:t>
      </w:r>
      <w:r w:rsidDel="00000000" w:rsidR="00000000" w:rsidRPr="00000000">
        <w:rPr>
          <w:i w:val="1"/>
          <w:vertAlign w:val="baseline"/>
          <w:rtl w:val="0"/>
        </w:rPr>
        <w:t xml:space="preserve">Manual de Coaching</w:t>
      </w:r>
      <w:r w:rsidDel="00000000" w:rsidR="00000000" w:rsidRPr="00000000">
        <w:rPr>
          <w:vertAlign w:val="baseline"/>
          <w:rtl w:val="0"/>
        </w:rPr>
        <w:t xml:space="preserve"> de Arnaldo Marion e  do formulário do curso </w:t>
      </w:r>
      <w:r w:rsidDel="00000000" w:rsidR="00000000" w:rsidRPr="00000000">
        <w:rPr>
          <w:i w:val="1"/>
          <w:vertAlign w:val="baseline"/>
          <w:rtl w:val="0"/>
        </w:rPr>
        <w:t xml:space="preserve">Introdução ao Coaching</w:t>
      </w:r>
      <w:r w:rsidDel="00000000" w:rsidR="00000000" w:rsidRPr="00000000">
        <w:rPr>
          <w:vertAlign w:val="baseline"/>
          <w:rtl w:val="0"/>
        </w:rPr>
        <w:t xml:space="preserve"> do Senac.</w:t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</w:rPr>
    </w:pPr>
    <w:r w:rsidDel="00000000" w:rsidR="00000000" w:rsidRPr="00000000">
      <w:rPr>
        <w:u w:val="single"/>
      </w:rPr>
      <w:drawing>
        <wp:inline distB="19050" distT="19050" distL="19050" distR="19050">
          <wp:extent cx="371676" cy="1794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5600" l="0" r="0" t="26131"/>
                  <a:stretch>
                    <a:fillRect/>
                  </a:stretch>
                </pic:blipFill>
                <pic:spPr>
                  <a:xfrm>
                    <a:off x="0" y="0"/>
                    <a:ext cx="371676" cy="179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[NoParagraphStyle]">
    <w:name w:val="[No Paragraph Style]"/>
    <w:next w:val="[NoParagraphStyle]"/>
    <w:autoRedefine w:val="0"/>
    <w:hidden w:val="0"/>
    <w:qFormat w:val="0"/>
    <w:pPr>
      <w:suppressAutoHyphens w:val="1"/>
      <w:autoSpaceDE w:val="0"/>
      <w:autoSpaceDN w:val="0"/>
      <w:adjustRightInd w:val="0"/>
      <w:spacing w:line="288" w:lineRule="auto"/>
      <w:ind w:leftChars="-1" w:rightChars="0" w:firstLineChars="-1"/>
      <w:textDirection w:val="btLr"/>
      <w:textAlignment w:val="center"/>
      <w:outlineLvl w:val="0"/>
    </w:pPr>
    <w:rPr>
      <w:rFonts w:ascii="Open Sans" w:hAnsi="Open Sans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GB"/>
    </w:rPr>
  </w:style>
  <w:style w:type="paragraph" w:styleId="anexo_titulo(Tabela:Anexos)">
    <w:name w:val="anexo_titulo (Tabela:Anexos)"/>
    <w:basedOn w:val="Normal"/>
    <w:next w:val="anexo_titulo(Tabela:Anexos)"/>
    <w:autoRedefine w:val="0"/>
    <w:hidden w:val="0"/>
    <w:qFormat w:val="0"/>
    <w:pPr>
      <w:suppressAutoHyphens w:val="0"/>
      <w:autoSpaceDE w:val="0"/>
      <w:autoSpaceDN w:val="0"/>
      <w:adjustRightInd w:val="0"/>
      <w:spacing w:after="57" w:before="113" w:line="288" w:lineRule="auto"/>
      <w:ind w:leftChars="-1" w:rightChars="0" w:firstLineChars="-1"/>
      <w:jc w:val="center"/>
      <w:textDirection w:val="btLr"/>
      <w:textAlignment w:val="center"/>
      <w:outlineLvl w:val="0"/>
    </w:pPr>
    <w:rPr>
      <w:rFonts w:ascii="Open Sans" w:cs="Open Sans" w:hAnsi="Open Sans"/>
      <w:b w:val="1"/>
      <w:bCs w:val="1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anexo_texto(Tabela:Anexos)">
    <w:name w:val="anexo_texto (Tabela:Anexos)"/>
    <w:basedOn w:val="Normal"/>
    <w:next w:val="anexo_texto(Tabela:Anexos)"/>
    <w:autoRedefine w:val="0"/>
    <w:hidden w:val="0"/>
    <w:qFormat w:val="0"/>
    <w:pPr>
      <w:suppressAutoHyphens w:val="1"/>
      <w:autoSpaceDE w:val="0"/>
      <w:autoSpaceDN w:val="0"/>
      <w:adjustRightInd w:val="0"/>
      <w:spacing w:after="57" w:before="113" w:line="260" w:lineRule="atLeast"/>
      <w:ind w:leftChars="-1" w:rightChars="0" w:firstLineChars="-1"/>
      <w:textDirection w:val="btLr"/>
      <w:textAlignment w:val="center"/>
      <w:outlineLvl w:val="0"/>
    </w:pPr>
    <w:rPr>
      <w:rFonts w:ascii="Open Sans" w:cs="Open Sans" w:hAnsi="Open Sans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anexo_texto_descrição(Tabela:Anexos)">
    <w:name w:val="anexo_texto_descrição (Tabela:Anexos)"/>
    <w:basedOn w:val="anexo_texto(Tabela:Anexos)"/>
    <w:next w:val="anexo_texto_descrição(Tabela:Anexos)"/>
    <w:autoRedefine w:val="0"/>
    <w:hidden w:val="0"/>
    <w:qFormat w:val="0"/>
    <w:pPr>
      <w:suppressAutoHyphens w:val="0"/>
      <w:autoSpaceDE w:val="0"/>
      <w:autoSpaceDN w:val="0"/>
      <w:adjustRightInd w:val="0"/>
      <w:spacing w:after="57" w:before="113" w:line="260" w:lineRule="atLeast"/>
      <w:ind w:leftChars="-1" w:rightChars="0" w:firstLineChars="-1"/>
      <w:textDirection w:val="btLr"/>
      <w:textAlignment w:val="center"/>
      <w:outlineLvl w:val="0"/>
    </w:pPr>
    <w:rPr>
      <w:rFonts w:ascii="Open Sans" w:cs="Open Sans" w:hAnsi="Open Sans"/>
      <w:i w:val="1"/>
      <w:iCs w:val="1"/>
      <w:color w:val="484848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pt-BR"/>
    </w:rPr>
  </w:style>
  <w:style w:type="paragraph" w:styleId="anexo_texto_negrito(Tabela:Anexos)">
    <w:name w:val="anexo_texto_negrito (Tabela:Anexos)"/>
    <w:basedOn w:val="Normal"/>
    <w:next w:val="anexo_texto_negrito(Tabela:Anexos)"/>
    <w:autoRedefine w:val="0"/>
    <w:hidden w:val="0"/>
    <w:qFormat w:val="0"/>
    <w:pPr>
      <w:suppressAutoHyphens w:val="1"/>
      <w:autoSpaceDE w:val="0"/>
      <w:autoSpaceDN w:val="0"/>
      <w:adjustRightInd w:val="0"/>
      <w:spacing w:after="57" w:before="113" w:line="260" w:lineRule="atLeast"/>
      <w:ind w:leftChars="-1" w:rightChars="0" w:firstLineChars="-1"/>
      <w:textDirection w:val="btLr"/>
      <w:textAlignment w:val="center"/>
      <w:outlineLvl w:val="0"/>
    </w:pPr>
    <w:rPr>
      <w:rFonts w:ascii="Open Sans" w:cs="Open Sans" w:hAnsi="Open Sans"/>
      <w:b w:val="1"/>
      <w:bCs w:val="1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paragraph" w:styleId="Cabeçalho">
    <w:name w:val="Cabeçalho"/>
    <w:basedOn w:val="Normal"/>
    <w:next w:val="Cabeçalho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Rodapé">
    <w:name w:val="Rodapé"/>
    <w:basedOn w:val="Normal"/>
    <w:next w:val="Rodapé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mwkW/HSeIFUV7C04GOR1Og+iMw==">CgMxLjA4AHIhMTBrWEQ0NVg5c0lPOHNSbjlleE1PMjRzWHgzaFZlSnZP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2020-07-23T02:51:00Z</dcterms:created>
  <dc:creator>Senac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str>0x010100527FC1F6318217408B509EF3895988F6</vt:lpstr>
  </property>
</Properties>
</file>