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F172A"/>
          <w:sz w:val="44"/>
        </w:rPr>
        <w:t>Especificacion de requerimientos de software</w:t>
      </w:r>
    </w:p>
    <w:p>
      <w:r>
        <w:rPr>
          <w:rFonts w:ascii="Arial" w:hAnsi="Arial"/>
          <w:color w:val="52525B"/>
          <w:sz w:val="20"/>
        </w:rPr>
        <w:t>Futsi Mini ERP - documento formal ampliado</w:t>
      </w:r>
    </w:p>
    <w:p>
      <w:pPr>
        <w:pStyle w:val="Heading1"/>
      </w:pPr>
      <w:r>
        <w:t>Resumen ejecutivo</w:t>
      </w:r>
    </w:p>
    <w:p>
      <w:r>
        <w:t>El sistema crea una fuente confiable de verdad para cruzar asistencia, cobranza, descuentos, gastos y trazabilidad por sede. No sustituye Contpaqi ni es un ERP fiscal completo.</w:t>
      </w:r>
    </w:p>
    <w:p>
      <w:pPr>
        <w:pStyle w:val="Heading1"/>
      </w:pPr>
      <w:r>
        <w:t>Alcance Sprint 1</w:t>
      </w:r>
    </w:p>
    <w:p>
      <w:pPr>
        <w:pStyle w:val="ListBullet"/>
      </w:pPr>
      <w:r>
        <w:t>Login por roles.</w:t>
      </w:r>
    </w:p>
    <w:p>
      <w:pPr>
        <w:pStyle w:val="ListBullet"/>
      </w:pPr>
      <w:r>
        <w:t>Sedes, alumnos, representantes y equipos base.</w:t>
      </w:r>
    </w:p>
    <w:p>
      <w:pPr>
        <w:pStyle w:val="ListBullet"/>
      </w:pPr>
      <w:r>
        <w:t>Asistencia, cobranza, gastos, descuentos y dashboards.</w:t>
      </w:r>
    </w:p>
    <w:p>
      <w:pPr>
        <w:pStyle w:val="ListBullet"/>
      </w:pPr>
      <w:r>
        <w:t>Portal contador y portal coach.</w:t>
      </w:r>
    </w:p>
    <w:p>
      <w:pPr>
        <w:pStyle w:val="ListBullet"/>
      </w:pPr>
      <w:r>
        <w:t>Documentacion, pruebas y datos demo.</w:t>
      </w:r>
    </w:p>
    <w:p>
      <w:pPr>
        <w:pStyle w:val="Heading1"/>
      </w:pPr>
      <w:r>
        <w:t>Requerimientos principales</w:t>
      </w:r>
    </w:p>
    <w:p>
      <w:pPr>
        <w:pStyle w:val="ListBullet"/>
      </w:pPr>
      <w:r>
        <w:t>Controlar cargos, pagos parciales y saldos.</w:t>
      </w:r>
    </w:p>
    <w:p>
      <w:pPr>
        <w:pStyle w:val="ListBullet"/>
      </w:pPr>
      <w:r>
        <w:t>Simular CLABE virtual, efectivo aceptado, terminal y link.</w:t>
      </w:r>
    </w:p>
    <w:p>
      <w:pPr>
        <w:pStyle w:val="ListBullet"/>
      </w:pPr>
      <w:r>
        <w:t>Exportar Excel contable.</w:t>
      </w:r>
    </w:p>
    <w:p>
      <w:pPr>
        <w:pStyle w:val="ListBullet"/>
      </w:pPr>
      <w:r>
        <w:t>Mostrar grafica financiera con eje X/Y.</w:t>
      </w:r>
    </w:p>
    <w:p>
      <w:pPr>
        <w:pStyle w:val="ListBullet"/>
      </w:pPr>
      <w:r>
        <w:t>Gestionar datos de alumno: foto, responsiva, medico, uniforme, pausas.</w:t>
      </w:r>
    </w:p>
    <w:p>
      <w:pPr>
        <w:pStyle w:val="ListBullet"/>
      </w:pPr>
      <w:r>
        <w:t>Registrar horas de coach y formacion del equipo.</w:t>
      </w:r>
    </w:p>
    <w:p>
      <w:pPr>
        <w:pStyle w:val="Heading1"/>
      </w:pPr>
      <w:r>
        <w:t>Sprint 2 recomendado</w:t>
      </w:r>
    </w:p>
    <w:p>
      <w:pPr>
        <w:pStyle w:val="ListBullet"/>
      </w:pPr>
      <w:r>
        <w:t>Despliegue staging/produccion.</w:t>
      </w:r>
    </w:p>
    <w:p>
      <w:pPr>
        <w:pStyle w:val="ListBullet"/>
      </w:pPr>
      <w:r>
        <w:t>PostgreSQL y almacenamiento S3.</w:t>
      </w:r>
    </w:p>
    <w:p>
      <w:pPr>
        <w:pStyle w:val="ListBullet"/>
      </w:pPr>
      <w:r>
        <w:t>Importacion Excel/Gymforce.</w:t>
      </w:r>
    </w:p>
    <w:p>
      <w:pPr>
        <w:pStyle w:val="ListBullet"/>
      </w:pPr>
      <w:r>
        <w:t>SPEI/terminal reales.</w:t>
      </w:r>
    </w:p>
    <w:p>
      <w:pPr>
        <w:pStyle w:val="ListBullet"/>
      </w:pPr>
      <w:r>
        <w:t>Mora, topes y avisos.</w:t>
      </w:r>
    </w:p>
    <w:p>
      <w:pPr>
        <w:pStyle w:val="ListBullet"/>
      </w:pPr>
      <w:r>
        <w:t>Auditoria automatica y cierre diario.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53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727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