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77777777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proofErr w:type="spellStart"/>
            <w:r>
              <w:t>Msg</w:t>
            </w:r>
            <w:proofErr w:type="spellEnd"/>
            <w:r>
              <w:t xml:space="preserve">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77777777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proofErr w:type="gramStart"/>
            <w:r w:rsidR="00104F88">
              <w:t>Inativo</w:t>
            </w:r>
            <w:r w:rsidR="00B74F68">
              <w:t>/não</w:t>
            </w:r>
            <w:proofErr w:type="gramEnd"/>
            <w:r w:rsidR="00B74F68">
              <w:t xml:space="preserve"> registrado</w:t>
            </w:r>
            <w:r w:rsidR="0046273E">
              <w:t xml:space="preserve"> (02)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(03)</w:t>
            </w:r>
          </w:p>
          <w:p w14:paraId="2D6EE583" w14:textId="77777777" w:rsidR="001014C0" w:rsidRDefault="001014C0" w:rsidP="001014C0">
            <w:r>
              <w:t>1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 , 2 (chave expirada), 3 (chave inválida) – somente se resultado acima for igual a 01 (ativo)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77777777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504F1CE8" w14:textId="77777777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50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7777777"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(50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lastRenderedPageBreak/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77777777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77777777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(50 caracteres)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lastRenderedPageBreak/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77777777" w:rsidR="00BF001F" w:rsidRDefault="00BF001F" w:rsidP="00433802">
            <w:r>
              <w:t>EXCLUIRUIT FUNCIONALIADE</w:t>
            </w:r>
          </w:p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7777777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</w:t>
            </w:r>
            <w:r w:rsidR="003A2E80">
              <w:lastRenderedPageBreak/>
              <w:t>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77777777" w:rsidR="001C447E" w:rsidRDefault="001C447E" w:rsidP="000A5FE4">
            <w:r>
              <w:t>“000”- primeira consulta</w:t>
            </w:r>
          </w:p>
          <w:p w14:paraId="31F1CEDA" w14:textId="77777777" w:rsidR="001C447E" w:rsidRPr="00240C95" w:rsidRDefault="001C447E" w:rsidP="000A5FE4">
            <w:pPr>
              <w:rPr>
                <w:u w:val="single"/>
              </w:rPr>
            </w:pPr>
            <w:r>
              <w:t>“XXX”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10 registros)</w:t>
            </w:r>
          </w:p>
        </w:tc>
        <w:tc>
          <w:tcPr>
            <w:tcW w:w="4247" w:type="dxa"/>
          </w:tcPr>
          <w:p w14:paraId="249957BD" w14:textId="77777777" w:rsidR="000A5FE4" w:rsidRDefault="00697866" w:rsidP="000A5FE4">
            <w:r>
              <w:t xml:space="preserve">NNN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39F6A7B8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(50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77777777" w:rsidR="00C32E3C" w:rsidRDefault="00C32E3C" w:rsidP="000A5FE4">
            <w:r>
              <w:t>Nome de um Fiscal responsável (100 caracteres)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77777777" w:rsidR="000A5FE4" w:rsidRPr="001A3D0A" w:rsidRDefault="000A5FE4" w:rsidP="001C447E">
            <w:r>
              <w:t>S</w:t>
            </w:r>
            <w:r w:rsidR="001C447E">
              <w:t>e NNN&gt;10, envia 10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lastRenderedPageBreak/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lastRenderedPageBreak/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lastRenderedPageBreak/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lastRenderedPageBreak/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77777777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B50B5">
              <w:t>(500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lastRenderedPageBreak/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lastRenderedPageBreak/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proofErr w:type="spellStart"/>
            <w:r>
              <w:t>Msg</w:t>
            </w:r>
            <w:proofErr w:type="spellEnd"/>
            <w:r>
              <w:t xml:space="preserve">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77777777" w:rsidR="002B50B5" w:rsidRDefault="002B50B5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(500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e </w:t>
            </w:r>
            <w:r>
              <w:t>o TDPF deve estar em andamento)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77777777" w:rsidR="00B409A5" w:rsidRDefault="00B409A5" w:rsidP="00B409A5">
            <w:r>
              <w:t>DCC deve ser único na base de dados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proofErr w:type="spellStart"/>
            <w:r>
              <w:t>Msg</w:t>
            </w:r>
            <w:proofErr w:type="spellEnd"/>
            <w:r>
              <w:t xml:space="preserve">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lastRenderedPageBreak/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>Estab</w:t>
            </w:r>
            <w:r>
              <w:t>Prev</w:t>
            </w:r>
            <w:r>
              <w:t xml:space="preserve">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lastRenderedPageBreak/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lastRenderedPageBreak/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DAE343F" w14:textId="4A68074E" w:rsidR="006A53FD" w:rsidRDefault="006A53FD" w:rsidP="006A53FD">
            <w:proofErr w:type="spellStart"/>
            <w:r>
              <w:t>tdpf</w:t>
            </w:r>
            <w:proofErr w:type="spellEnd"/>
            <w:r>
              <w:t xml:space="preserve"> – 16 caracteres numéricos</w:t>
            </w:r>
          </w:p>
        </w:tc>
        <w:tc>
          <w:tcPr>
            <w:tcW w:w="4247" w:type="dxa"/>
          </w:tcPr>
          <w:p w14:paraId="562BD561" w14:textId="303BA3E3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 xml:space="preserve">E = registro existe completo; P = TDPF existe, mas não tem informações abaixo de </w:t>
            </w:r>
            <w:r w:rsidR="006D424A">
              <w:t>Total Pontos</w:t>
            </w:r>
            <w:r w:rsidR="00175774">
              <w:t xml:space="preserve"> [requisição 23 acima];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076F90E2" w:rsidR="003A2A8D" w:rsidRDefault="003A2A8D" w:rsidP="00025055">
            <w:r>
              <w:t>Encerrado: S ou N</w:t>
            </w:r>
          </w:p>
          <w:p w14:paraId="328BEAFB" w14:textId="32DAEF49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  <w:bookmarkStart w:id="0" w:name="_GoBack"/>
            <w:bookmarkEnd w:id="0"/>
          </w:p>
          <w:p w14:paraId="4F17505E" w14:textId="41C01E15" w:rsidR="0063731D" w:rsidRPr="00363334" w:rsidRDefault="0063731D" w:rsidP="007E7FB5">
            <w:r>
              <w:t>Data de inclusão do registro: 10 caracteres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Default="009D6B25" w:rsidP="00025055"/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025055" w14:paraId="3696B0A4" w14:textId="77777777" w:rsidTr="00505885">
        <w:tc>
          <w:tcPr>
            <w:tcW w:w="4247" w:type="dxa"/>
          </w:tcPr>
          <w:p w14:paraId="761538BB" w14:textId="5812437A" w:rsidR="00025055" w:rsidRPr="00363334" w:rsidRDefault="00363334" w:rsidP="00025055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025055" w:rsidRPr="00363334" w:rsidRDefault="00025055" w:rsidP="00025055">
            <w:r w:rsidRPr="00363334">
              <w:t>90 – Erros de Chave/usuário</w:t>
            </w:r>
          </w:p>
        </w:tc>
      </w:tr>
      <w:tr w:rsidR="00025055" w14:paraId="2164765E" w14:textId="77777777" w:rsidTr="00505885">
        <w:tc>
          <w:tcPr>
            <w:tcW w:w="4247" w:type="dxa"/>
          </w:tcPr>
          <w:p w14:paraId="4E03558D" w14:textId="77777777" w:rsidR="00025055" w:rsidRPr="00363334" w:rsidRDefault="00025055" w:rsidP="00025055"/>
        </w:tc>
        <w:tc>
          <w:tcPr>
            <w:tcW w:w="4247" w:type="dxa"/>
          </w:tcPr>
          <w:p w14:paraId="70F5D11F" w14:textId="77777777" w:rsidR="00025055" w:rsidRPr="00363334" w:rsidRDefault="00025055" w:rsidP="00025055">
            <w:r w:rsidRPr="00363334">
              <w:t>97 – Erros de CPF e conexão BD</w:t>
            </w:r>
          </w:p>
        </w:tc>
      </w:tr>
      <w:tr w:rsidR="00025055" w14:paraId="06DC93E4" w14:textId="77777777" w:rsidTr="00505885">
        <w:tc>
          <w:tcPr>
            <w:tcW w:w="4247" w:type="dxa"/>
          </w:tcPr>
          <w:p w14:paraId="261DC167" w14:textId="77777777" w:rsidR="00025055" w:rsidRDefault="00025055" w:rsidP="00025055"/>
        </w:tc>
        <w:tc>
          <w:tcPr>
            <w:tcW w:w="4247" w:type="dxa"/>
          </w:tcPr>
          <w:p w14:paraId="5E914A4F" w14:textId="77777777" w:rsidR="00025055" w:rsidRDefault="00025055" w:rsidP="00025055">
            <w:r>
              <w:t>99 – Erros de requisição</w:t>
            </w:r>
          </w:p>
        </w:tc>
      </w:tr>
      <w:tr w:rsidR="00025055" w14:paraId="46138BF2" w14:textId="77777777" w:rsidTr="00505885">
        <w:tc>
          <w:tcPr>
            <w:tcW w:w="4247" w:type="dxa"/>
          </w:tcPr>
          <w:p w14:paraId="5722477A" w14:textId="77777777" w:rsidR="00025055" w:rsidRDefault="00025055" w:rsidP="00025055"/>
        </w:tc>
        <w:tc>
          <w:tcPr>
            <w:tcW w:w="4247" w:type="dxa"/>
          </w:tcPr>
          <w:p w14:paraId="591CEF42" w14:textId="77777777" w:rsidR="00025055" w:rsidRDefault="00025055" w:rsidP="00025055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77777777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61503"/>
    <w:rsid w:val="001738E4"/>
    <w:rsid w:val="00175774"/>
    <w:rsid w:val="0017606E"/>
    <w:rsid w:val="00191A0F"/>
    <w:rsid w:val="00192772"/>
    <w:rsid w:val="001A3D0A"/>
    <w:rsid w:val="001B554D"/>
    <w:rsid w:val="001C1ED6"/>
    <w:rsid w:val="001C447E"/>
    <w:rsid w:val="001E7747"/>
    <w:rsid w:val="002040C5"/>
    <w:rsid w:val="00240C95"/>
    <w:rsid w:val="00246C5B"/>
    <w:rsid w:val="00260E68"/>
    <w:rsid w:val="00277635"/>
    <w:rsid w:val="0028046D"/>
    <w:rsid w:val="00284793"/>
    <w:rsid w:val="00297DA6"/>
    <w:rsid w:val="002B50B5"/>
    <w:rsid w:val="002D7727"/>
    <w:rsid w:val="002E43E3"/>
    <w:rsid w:val="003262BA"/>
    <w:rsid w:val="0032780F"/>
    <w:rsid w:val="00344DE5"/>
    <w:rsid w:val="0034535E"/>
    <w:rsid w:val="0034752F"/>
    <w:rsid w:val="00353A5F"/>
    <w:rsid w:val="00363334"/>
    <w:rsid w:val="003654F9"/>
    <w:rsid w:val="00393DCC"/>
    <w:rsid w:val="003A2A8D"/>
    <w:rsid w:val="003A2E80"/>
    <w:rsid w:val="003B303B"/>
    <w:rsid w:val="003C179A"/>
    <w:rsid w:val="003E29E9"/>
    <w:rsid w:val="003E6387"/>
    <w:rsid w:val="003F468B"/>
    <w:rsid w:val="0042106B"/>
    <w:rsid w:val="00433802"/>
    <w:rsid w:val="0046273E"/>
    <w:rsid w:val="00464657"/>
    <w:rsid w:val="004A68B1"/>
    <w:rsid w:val="004B4AEE"/>
    <w:rsid w:val="004E08D1"/>
    <w:rsid w:val="004E1053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60480F"/>
    <w:rsid w:val="00626E17"/>
    <w:rsid w:val="0063731D"/>
    <w:rsid w:val="006718B9"/>
    <w:rsid w:val="00691EBC"/>
    <w:rsid w:val="00697866"/>
    <w:rsid w:val="006A53FD"/>
    <w:rsid w:val="006D130F"/>
    <w:rsid w:val="006D424A"/>
    <w:rsid w:val="006E3AA7"/>
    <w:rsid w:val="006F1BB9"/>
    <w:rsid w:val="00701E79"/>
    <w:rsid w:val="00735965"/>
    <w:rsid w:val="00736541"/>
    <w:rsid w:val="0074146C"/>
    <w:rsid w:val="00747C39"/>
    <w:rsid w:val="00770306"/>
    <w:rsid w:val="007813E3"/>
    <w:rsid w:val="007A1BF8"/>
    <w:rsid w:val="007A412A"/>
    <w:rsid w:val="007A5904"/>
    <w:rsid w:val="007C3E77"/>
    <w:rsid w:val="007C5A19"/>
    <w:rsid w:val="007E7FB5"/>
    <w:rsid w:val="00801873"/>
    <w:rsid w:val="0080709F"/>
    <w:rsid w:val="00807D3A"/>
    <w:rsid w:val="008316B4"/>
    <w:rsid w:val="00847CE9"/>
    <w:rsid w:val="008546E3"/>
    <w:rsid w:val="00884361"/>
    <w:rsid w:val="008A2681"/>
    <w:rsid w:val="008A3170"/>
    <w:rsid w:val="008A543C"/>
    <w:rsid w:val="008C52D6"/>
    <w:rsid w:val="008D20CF"/>
    <w:rsid w:val="00902940"/>
    <w:rsid w:val="009063F6"/>
    <w:rsid w:val="0094020E"/>
    <w:rsid w:val="00966B00"/>
    <w:rsid w:val="00990B61"/>
    <w:rsid w:val="009C7DF2"/>
    <w:rsid w:val="009D04B6"/>
    <w:rsid w:val="009D6217"/>
    <w:rsid w:val="009D6B25"/>
    <w:rsid w:val="009F5D19"/>
    <w:rsid w:val="00A042FB"/>
    <w:rsid w:val="00A0727E"/>
    <w:rsid w:val="00A32FE4"/>
    <w:rsid w:val="00A4125E"/>
    <w:rsid w:val="00A44DF7"/>
    <w:rsid w:val="00A61A24"/>
    <w:rsid w:val="00A91B4A"/>
    <w:rsid w:val="00A93C39"/>
    <w:rsid w:val="00AC4619"/>
    <w:rsid w:val="00B409A5"/>
    <w:rsid w:val="00B74F68"/>
    <w:rsid w:val="00B911D2"/>
    <w:rsid w:val="00B95641"/>
    <w:rsid w:val="00BA2D53"/>
    <w:rsid w:val="00BA3EB3"/>
    <w:rsid w:val="00BB55EE"/>
    <w:rsid w:val="00BB5A80"/>
    <w:rsid w:val="00BF001F"/>
    <w:rsid w:val="00BF67ED"/>
    <w:rsid w:val="00C21311"/>
    <w:rsid w:val="00C32E3C"/>
    <w:rsid w:val="00C33830"/>
    <w:rsid w:val="00C40217"/>
    <w:rsid w:val="00C40661"/>
    <w:rsid w:val="00C5063C"/>
    <w:rsid w:val="00C636D9"/>
    <w:rsid w:val="00C83C11"/>
    <w:rsid w:val="00C90655"/>
    <w:rsid w:val="00C91CA9"/>
    <w:rsid w:val="00CC00CE"/>
    <w:rsid w:val="00CC6F40"/>
    <w:rsid w:val="00CE1001"/>
    <w:rsid w:val="00CE1AE8"/>
    <w:rsid w:val="00CF181F"/>
    <w:rsid w:val="00CF4B66"/>
    <w:rsid w:val="00D01518"/>
    <w:rsid w:val="00D0332B"/>
    <w:rsid w:val="00D760A2"/>
    <w:rsid w:val="00D7708D"/>
    <w:rsid w:val="00D916C6"/>
    <w:rsid w:val="00D944D4"/>
    <w:rsid w:val="00DA41DE"/>
    <w:rsid w:val="00DA7C7E"/>
    <w:rsid w:val="00DC23DA"/>
    <w:rsid w:val="00DD4CA5"/>
    <w:rsid w:val="00DF5535"/>
    <w:rsid w:val="00DF560C"/>
    <w:rsid w:val="00E419A0"/>
    <w:rsid w:val="00E63721"/>
    <w:rsid w:val="00E65F7A"/>
    <w:rsid w:val="00E66DF7"/>
    <w:rsid w:val="00E77388"/>
    <w:rsid w:val="00E95581"/>
    <w:rsid w:val="00EC57AC"/>
    <w:rsid w:val="00EF4566"/>
    <w:rsid w:val="00F0376A"/>
    <w:rsid w:val="00F05024"/>
    <w:rsid w:val="00F44978"/>
    <w:rsid w:val="00F534F0"/>
    <w:rsid w:val="00F968D3"/>
    <w:rsid w:val="00FA16A3"/>
    <w:rsid w:val="00FB54B0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9096</TotalTime>
  <Pages>7</Pages>
  <Words>1892</Words>
  <Characters>10218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66</cp:revision>
  <dcterms:created xsi:type="dcterms:W3CDTF">2020-07-22T00:11:00Z</dcterms:created>
  <dcterms:modified xsi:type="dcterms:W3CDTF">2021-02-26T23:38:00Z</dcterms:modified>
</cp:coreProperties>
</file>