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 Caso 2</w:t>
      </w:r>
    </w:p>
    <w:p w:rsidR="00000000" w:rsidDel="00000000" w:rsidP="00000000" w:rsidRDefault="00000000" w:rsidRPr="00000000" w14:paraId="00000002">
      <w:pPr>
        <w:jc w:val="right"/>
        <w:rPr>
          <w:b w:val="1"/>
          <w:sz w:val="32"/>
          <w:szCs w:val="32"/>
        </w:rPr>
      </w:pPr>
      <w:r w:rsidDel="00000000" w:rsidR="00000000" w:rsidRPr="00000000">
        <w:rPr>
          <w:sz w:val="24"/>
          <w:szCs w:val="24"/>
        </w:rPr>
        <w:drawing>
          <wp:inline distB="0" distT="0" distL="0" distR="0">
            <wp:extent cx="2134982" cy="112082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34982" cy="11208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SMR, S.A. </w:t>
      </w:r>
    </w:p>
    <w:p w:rsidR="00000000" w:rsidDel="00000000" w:rsidP="00000000" w:rsidRDefault="00000000" w:rsidRPr="00000000" w14:paraId="00000004">
      <w:pPr>
        <w:rPr>
          <w:sz w:val="24"/>
          <w:szCs w:val="24"/>
        </w:rPr>
      </w:pPr>
      <w:r w:rsidDel="00000000" w:rsidR="00000000" w:rsidRPr="00000000">
        <w:rPr>
          <w:sz w:val="24"/>
          <w:szCs w:val="24"/>
          <w:rtl w:val="0"/>
        </w:rPr>
        <w:t xml:space="preserve">Calle del Cable, 21</w:t>
      </w:r>
    </w:p>
    <w:p w:rsidR="00000000" w:rsidDel="00000000" w:rsidP="00000000" w:rsidRDefault="00000000" w:rsidRPr="00000000" w14:paraId="00000005">
      <w:pPr>
        <w:rPr>
          <w:sz w:val="24"/>
          <w:szCs w:val="24"/>
        </w:rPr>
      </w:pPr>
      <w:r w:rsidDel="00000000" w:rsidR="00000000" w:rsidRPr="00000000">
        <w:rPr>
          <w:sz w:val="24"/>
          <w:szCs w:val="24"/>
          <w:rtl w:val="0"/>
        </w:rPr>
        <w:t xml:space="preserve">28000 Madrid</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Madrid a 7 de febrero de 2022</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Estimado Señor,</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Por la presente le comunicamos que el lunes 14 de febrero debe incorporarse a trabajar en nuestras oficinas de Teruel para cubrir un puesto de técnico en sistemas en el departamento de IT. La duración de la estancia en el mencionado puesto será de tres meses.</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Atentamente:</w:t>
      </w:r>
    </w:p>
    <w:p w:rsidR="00000000" w:rsidDel="00000000" w:rsidP="00000000" w:rsidRDefault="00000000" w:rsidRPr="00000000" w14:paraId="0000000A">
      <w:pPr>
        <w:rPr>
          <w:sz w:val="24"/>
          <w:szCs w:val="24"/>
        </w:rPr>
      </w:pPr>
      <w:r w:rsidDel="00000000" w:rsidR="00000000" w:rsidRPr="00000000">
        <w:rPr>
          <w:sz w:val="24"/>
          <w:szCs w:val="24"/>
        </w:rPr>
        <w:drawing>
          <wp:inline distB="0" distT="0" distL="0" distR="0">
            <wp:extent cx="1134865" cy="9665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34865" cy="9665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Lucas Martín,</w:t>
      </w:r>
    </w:p>
    <w:p w:rsidR="00000000" w:rsidDel="00000000" w:rsidP="00000000" w:rsidRDefault="00000000" w:rsidRPr="00000000" w14:paraId="0000000C">
      <w:pPr>
        <w:rPr>
          <w:sz w:val="24"/>
          <w:szCs w:val="24"/>
        </w:rPr>
      </w:pPr>
      <w:bookmarkStart w:colFirst="0" w:colLast="0" w:name="_gjdgxs" w:id="0"/>
      <w:bookmarkEnd w:id="0"/>
      <w:r w:rsidDel="00000000" w:rsidR="00000000" w:rsidRPr="00000000">
        <w:rPr>
          <w:sz w:val="24"/>
          <w:szCs w:val="24"/>
          <w:rtl w:val="0"/>
        </w:rPr>
        <w:t xml:space="preserve">Director de RRHH</w:t>
      </w:r>
    </w:p>
    <w:p w:rsidR="00000000" w:rsidDel="00000000" w:rsidP="00000000" w:rsidRDefault="00000000" w:rsidRPr="00000000" w14:paraId="0000000D">
      <w:pPr>
        <w:rPr>
          <w:sz w:val="24"/>
          <w:szCs w:val="24"/>
        </w:rPr>
      </w:pPr>
      <w:bookmarkStart w:colFirst="0" w:colLast="0" w:name="_mge2jxor4bpt" w:id="1"/>
      <w:bookmarkEnd w:id="1"/>
      <w:r w:rsidDel="00000000" w:rsidR="00000000" w:rsidRPr="00000000">
        <w:rPr>
          <w:rtl w:val="0"/>
        </w:rPr>
      </w:r>
    </w:p>
    <w:p w:rsidR="00000000" w:rsidDel="00000000" w:rsidP="00000000" w:rsidRDefault="00000000" w:rsidRPr="00000000" w14:paraId="0000000E">
      <w:pPr>
        <w:rPr>
          <w:sz w:val="24"/>
          <w:szCs w:val="24"/>
        </w:rPr>
      </w:pPr>
      <w:bookmarkStart w:colFirst="0" w:colLast="0" w:name="_5j9nu8ggslm" w:id="2"/>
      <w:bookmarkEnd w:id="2"/>
      <w:r w:rsidDel="00000000" w:rsidR="00000000" w:rsidRPr="00000000">
        <w:rPr>
          <w:sz w:val="24"/>
          <w:szCs w:val="24"/>
          <w:rtl w:val="0"/>
        </w:rPr>
        <w:t xml:space="preserve">Se trata de un desplazamiento, la empresa queda obligada al pago de dietas (manutención y alojamiento) y gastos de viaje, además del salario. Además tendrás que ser avisado con un tiempo de antelación razonable según la empresa.</w:t>
      </w:r>
    </w:p>
    <w:sectPr>
      <w:headerReference r:id="rId8" w:type="default"/>
      <w:pgSz w:h="16838" w:w="11906" w:orient="portrait"/>
      <w:pgMar w:bottom="1417" w:top="1276" w:left="1418"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10217.0" w:type="dxa"/>
      <w:jc w:val="left"/>
      <w:tblInd w:w="-709.0" w:type="dxa"/>
      <w:tblBorders>
        <w:top w:color="333c7f" w:space="0" w:sz="8" w:val="single"/>
        <w:left w:color="333c7f" w:space="0" w:sz="8" w:val="single"/>
        <w:bottom w:color="333c7f" w:space="0" w:sz="24" w:val="single"/>
        <w:right w:color="333c7f" w:space="0" w:sz="8" w:val="single"/>
        <w:insideH w:color="5b9bd5" w:space="0" w:sz="8" w:val="single"/>
        <w:insideV w:color="333c7f" w:space="0" w:sz="8" w:val="single"/>
      </w:tblBorders>
      <w:tblLayout w:type="fixed"/>
      <w:tblLook w:val="04A0"/>
    </w:tblPr>
    <w:tblGrid>
      <w:gridCol w:w="2358"/>
      <w:gridCol w:w="3100"/>
      <w:gridCol w:w="2402"/>
      <w:gridCol w:w="2357"/>
      <w:tblGridChange w:id="0">
        <w:tblGrid>
          <w:gridCol w:w="2358"/>
          <w:gridCol w:w="3100"/>
          <w:gridCol w:w="2402"/>
          <w:gridCol w:w="2357"/>
        </w:tblGrid>
      </w:tblGridChange>
    </w:tblGrid>
    <w:tr>
      <w:trPr>
        <w:cantSplit w:val="0"/>
        <w:trHeight w:val="651" w:hRule="atLeast"/>
        <w:tblHeader w:val="0"/>
      </w:trPr>
      <w:tc>
        <w:tcPr>
          <w:vMerge w:val="restart"/>
          <w:tcBorders>
            <w:top w:color="2f2d91" w:space="0" w:sz="8" w:val="single"/>
            <w:left w:color="2f2d91" w:space="0" w:sz="8" w:val="single"/>
            <w:right w:color="2f2d91" w:space="0" w:sz="8"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-41274</wp:posOffset>
                </wp:positionH>
                <wp:positionV relativeFrom="paragraph">
                  <wp:posOffset>186055</wp:posOffset>
                </wp:positionV>
                <wp:extent cx="1555115" cy="47879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5115" cy="478790"/>
                        </a:xfrm>
                        <a:prstGeom prst="rect"/>
                        <a:ln/>
                      </pic:spPr>
                    </pic:pic>
                  </a:graphicData>
                </a:graphic>
              </wp:anchor>
            </w:drawing>
          </w:r>
        </w:p>
      </w:tc>
      <w:tc>
        <w:tcPr>
          <w:tcBorders>
            <w:top w:color="2f2d91" w:space="0" w:sz="8" w:val="single"/>
            <w:left w:color="2f2d91" w:space="0" w:sz="8" w:val="single"/>
            <w:bottom w:color="2f2d91" w:space="0" w:sz="4" w:val="single"/>
            <w:right w:color="2f2d91"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2f2d91"/>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d91"/>
              <w:sz w:val="22"/>
              <w:szCs w:val="22"/>
              <w:u w:val="none"/>
              <w:shd w:fill="auto" w:val="clear"/>
              <w:vertAlign w:val="baseline"/>
              <w:rtl w:val="0"/>
            </w:rPr>
            <w:t xml:space="preserve">F.O.L.</w:t>
          </w:r>
        </w:p>
      </w:tc>
      <w:tc>
        <w:tcPr>
          <w:tcBorders>
            <w:top w:color="2f2d91" w:space="0" w:sz="8" w:val="single"/>
            <w:left w:color="2f2d91" w:space="0" w:sz="8" w:val="single"/>
            <w:bottom w:color="2f2d91" w:space="0" w:sz="4" w:val="single"/>
            <w:right w:color="2f2d91"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2f2d91"/>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d91"/>
              <w:sz w:val="22"/>
              <w:szCs w:val="22"/>
              <w:u w:val="none"/>
              <w:shd w:fill="auto" w:val="clear"/>
              <w:vertAlign w:val="baseline"/>
              <w:rtl w:val="0"/>
            </w:rPr>
            <w:t xml:space="preserve">SMR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d91"/>
              <w:sz w:val="22"/>
              <w:szCs w:val="22"/>
              <w:u w:val="none"/>
              <w:shd w:fill="auto" w:val="clear"/>
              <w:vertAlign w:val="baseline"/>
              <w:rtl w:val="0"/>
            </w:rPr>
            <w:t xml:space="preserve">2021/2022  </w:t>
          </w:r>
          <w:r w:rsidDel="00000000" w:rsidR="00000000" w:rsidRPr="00000000">
            <w:rPr>
              <w:rtl w:val="0"/>
            </w:rPr>
          </w:r>
        </w:p>
      </w:tc>
      <w:tc>
        <w:tcPr>
          <w:vMerge w:val="restart"/>
          <w:tcBorders>
            <w:top w:color="2f2d91" w:space="0" w:sz="8" w:val="single"/>
            <w:left w:color="2f2d91" w:space="0" w:sz="4" w:val="single"/>
            <w:right w:color="2f2d91" w:space="0" w:sz="18"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16207</wp:posOffset>
                </wp:positionH>
                <wp:positionV relativeFrom="paragraph">
                  <wp:posOffset>71755</wp:posOffset>
                </wp:positionV>
                <wp:extent cx="1577257" cy="699715"/>
                <wp:effectExtent b="0" l="0" r="0" t="0"/>
                <wp:wrapTopAndBottom distB="0" distT="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577257" cy="699715"/>
                        </a:xfrm>
                        <a:prstGeom prst="rect"/>
                        <a:ln/>
                      </pic:spPr>
                    </pic:pic>
                  </a:graphicData>
                </a:graphic>
              </wp:anchor>
            </w:drawing>
          </w:r>
        </w:p>
      </w:tc>
    </w:tr>
    <w:tr>
      <w:trPr>
        <w:cantSplit w:val="0"/>
        <w:trHeight w:val="633" w:hRule="atLeast"/>
        <w:tblHeader w:val="0"/>
      </w:trPr>
      <w:tc>
        <w:tcPr>
          <w:vMerge w:val="continue"/>
          <w:tcBorders>
            <w:top w:color="2f2d91" w:space="0" w:sz="8" w:val="single"/>
            <w:left w:color="2f2d91" w:space="0" w:sz="8" w:val="single"/>
            <w:right w:color="2f2d91" w:space="0" w:sz="8"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2f2d91" w:space="0" w:sz="4" w:val="single"/>
            <w:left w:color="2f2d91" w:space="0" w:sz="8" w:val="single"/>
            <w:bottom w:color="2f2d91" w:space="0" w:sz="18" w:val="single"/>
            <w:right w:color="2f2d91"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f2d91"/>
              <w:sz w:val="22"/>
              <w:szCs w:val="22"/>
              <w:u w:val="none"/>
              <w:shd w:fill="auto" w:val="clear"/>
              <w:vertAlign w:val="baseline"/>
              <w:rtl w:val="0"/>
            </w:rPr>
            <w:t xml:space="preserve">NOMBRE:</w:t>
          </w:r>
          <w:r w:rsidDel="00000000" w:rsidR="00000000" w:rsidRPr="00000000">
            <w:rPr>
              <w:rtl w:val="0"/>
            </w:rPr>
          </w:r>
        </w:p>
      </w:tc>
      <w:tc>
        <w:tcPr>
          <w:vMerge w:val="continue"/>
          <w:tcBorders>
            <w:top w:color="2f2d91" w:space="0" w:sz="8" w:val="single"/>
            <w:left w:color="2f2d91" w:space="0" w:sz="4" w:val="single"/>
            <w:right w:color="2f2d91" w:space="0" w:sz="18"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4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5b9bd5" w:space="0" w:sz="8" w:val="single"/>
          <w:left w:color="5b9bd5" w:space="0" w:sz="8" w:val="single"/>
          <w:bottom w:color="5b9bd5" w:space="0" w:sz="8" w:val="single"/>
          <w:right w:color="5b9bd5" w:space="0" w:sz="8" w:val="single"/>
          <w:insideV w:color="5b9bd5" w:space="0" w:sz="8" w:val="single"/>
        </w:tcBorders>
        <w:shd w:fill="d6e6f4" w:val="clear"/>
      </w:tcPr>
    </w:tblStylePr>
    <w:tblStylePr w:type="band1Vert">
      <w:tcPr>
        <w:tcBorders>
          <w:top w:color="5b9bd5" w:space="0" w:sz="8" w:val="single"/>
          <w:left w:color="5b9bd5" w:space="0" w:sz="8" w:val="single"/>
          <w:bottom w:color="5b9bd5" w:space="0" w:sz="8" w:val="single"/>
          <w:right w:color="5b9bd5" w:space="0" w:sz="8" w:val="single"/>
        </w:tcBorders>
        <w:shd w:fill="d6e6f4" w:val="clear"/>
      </w:tcPr>
    </w:tblStylePr>
    <w:tblStylePr w:type="band2Horz">
      <w:tcPr>
        <w:tcBorders>
          <w:top w:color="5b9bd5" w:space="0" w:sz="8" w:val="single"/>
          <w:left w:color="5b9bd5" w:space="0" w:sz="8" w:val="single"/>
          <w:bottom w:color="5b9bd5" w:space="0" w:sz="8" w:val="single"/>
          <w:right w:color="5b9bd5" w:space="0" w:sz="8" w:val="single"/>
          <w:insideV w:color="5b9bd5"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5b9bd5" w:space="0" w:sz="8" w:val="single"/>
          <w:left w:color="5b9bd5" w:space="0" w:sz="8" w:val="single"/>
          <w:bottom w:color="5b9bd5" w:space="0" w:sz="18" w:val="single"/>
          <w:right w:color="5b9bd5" w:space="0" w:sz="8" w:val="single"/>
          <w:insideH w:color="000000" w:space="0" w:sz="0" w:val="nil"/>
          <w:insideV w:color="5b9bd5" w:space="0" w:sz="8" w:val="single"/>
        </w:tcBorders>
      </w:tcPr>
    </w:tblStylePr>
    <w:tblStylePr w:type="lastCol">
      <w:rPr>
        <w:rFonts w:ascii="Calibri" w:cs="Calibri" w:eastAsia="Calibri" w:hAnsi="Calibri"/>
        <w:b w:val="1"/>
      </w:rPr>
      <w:tcPr>
        <w:tcBorders>
          <w:top w:color="5b9bd5" w:space="0" w:sz="8" w:val="single"/>
          <w:left w:color="5b9bd5" w:space="0" w:sz="8" w:val="single"/>
          <w:bottom w:color="5b9bd5" w:space="0" w:sz="8" w:val="single"/>
          <w:right w:color="5b9bd5" w:space="0" w:sz="8" w:val="single"/>
        </w:tcBorders>
      </w:tcPr>
    </w:tblStylePr>
    <w:tblStylePr w:type="lastRow">
      <w:pPr>
        <w:spacing w:after="0" w:before="0" w:line="240" w:lineRule="auto"/>
      </w:pPr>
      <w:rPr>
        <w:rFonts w:ascii="Calibri" w:cs="Calibri" w:eastAsia="Calibri" w:hAnsi="Calibri"/>
        <w:b w:val="1"/>
      </w:rPr>
      <w:tcPr>
        <w:tcBorders>
          <w:top w:color="5b9bd5" w:space="0" w:sz="6" w:val="single"/>
          <w:left w:color="5b9bd5" w:space="0" w:sz="8" w:val="single"/>
          <w:bottom w:color="5b9bd5" w:space="0" w:sz="8" w:val="single"/>
          <w:right w:color="5b9bd5" w:space="0" w:sz="8" w:val="single"/>
          <w:insideH w:color="000000" w:space="0" w:sz="0" w:val="nil"/>
          <w:insideV w:color="5b9bd5"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