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26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809"/>
        <w:gridCol w:w="6237"/>
        <w:gridCol w:w="1216"/>
        <w:tblGridChange w:id="0">
          <w:tblGrid>
            <w:gridCol w:w="1809"/>
            <w:gridCol w:w="6237"/>
            <w:gridCol w:w="1216"/>
          </w:tblGrid>
        </w:tblGridChange>
      </w:tblGrid>
      <w:tr>
        <w:trPr>
          <w:cantSplit w:val="0"/>
          <w:trHeight w:val="680" w:hRule="atLeast"/>
          <w:tblHeader w:val="0"/>
        </w:trPr>
        <w:tc>
          <w:tcPr>
            <w:shd w:fill="dbe5f1" w:val="clear"/>
            <w:vAlign w:val="center"/>
          </w:tcPr>
          <w:p w:rsidR="00000000" w:rsidDel="00000000" w:rsidP="00000000" w:rsidRDefault="00000000" w:rsidRPr="00000000" w14:paraId="00000002">
            <w:pPr>
              <w:widowControl w:val="0"/>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2º ASIR: ASGBD</w:t>
            </w:r>
          </w:p>
        </w:tc>
        <w:tc>
          <w:tcPr>
            <w:shd w:fill="dbe5f1" w:val="clear"/>
            <w:vAlign w:val="center"/>
          </w:tcPr>
          <w:p w:rsidR="00000000" w:rsidDel="00000000" w:rsidP="00000000" w:rsidRDefault="00000000" w:rsidRPr="00000000" w14:paraId="00000003">
            <w:pPr>
              <w:widowControl w:val="0"/>
              <w:spacing w:line="360" w:lineRule="auto"/>
              <w:jc w:val="center"/>
              <w:rPr>
                <w:rFonts w:ascii="Calibri" w:cs="Calibri" w:eastAsia="Calibri" w:hAnsi="Calibri"/>
                <w:b w:val="1"/>
              </w:rPr>
            </w:pPr>
            <w:bookmarkStart w:colFirst="0" w:colLast="0" w:name="_gjdgxs" w:id="0"/>
            <w:bookmarkEnd w:id="0"/>
            <w:r w:rsidDel="00000000" w:rsidR="00000000" w:rsidRPr="00000000">
              <w:rPr>
                <w:rFonts w:ascii="Calibri" w:cs="Calibri" w:eastAsia="Calibri" w:hAnsi="Calibri"/>
                <w:b w:val="1"/>
                <w:rtl w:val="0"/>
              </w:rPr>
              <w:t xml:space="preserve">TAREA 01</w:t>
            </w:r>
            <w:r w:rsidDel="00000000" w:rsidR="00000000" w:rsidRPr="00000000">
              <w:rPr>
                <w:rFonts w:ascii="Calibri" w:cs="Calibri" w:eastAsia="Calibri" w:hAnsi="Calibri"/>
                <w:b w:val="1"/>
                <w:i w:val="1"/>
                <w:rtl w:val="0"/>
              </w:rPr>
              <w:t xml:space="preserve">: </w:t>
            </w:r>
            <w:r w:rsidDel="00000000" w:rsidR="00000000" w:rsidRPr="00000000">
              <w:rPr>
                <w:rFonts w:ascii="Calibri" w:cs="Calibri" w:eastAsia="Calibri" w:hAnsi="Calibri"/>
                <w:b w:val="1"/>
                <w:rtl w:val="0"/>
              </w:rPr>
              <w:t xml:space="preserve">TEMA 1 Generalidades SGBD</w:t>
            </w:r>
          </w:p>
          <w:p w:rsidR="00000000" w:rsidDel="00000000" w:rsidP="00000000" w:rsidRDefault="00000000" w:rsidRPr="00000000" w14:paraId="00000004">
            <w:pPr>
              <w:widowControl w:val="0"/>
              <w:spacing w:line="360" w:lineRule="auto"/>
              <w:jc w:val="center"/>
              <w:rPr>
                <w:rFonts w:ascii="Calibri" w:cs="Calibri" w:eastAsia="Calibri" w:hAnsi="Calibri"/>
                <w:b w:val="1"/>
                <w:i w:val="1"/>
              </w:rPr>
            </w:pPr>
            <w:r w:rsidDel="00000000" w:rsidR="00000000" w:rsidRPr="00000000">
              <w:rPr>
                <w:rFonts w:ascii="Calibri" w:cs="Calibri" w:eastAsia="Calibri" w:hAnsi="Calibri"/>
                <w:b w:val="1"/>
                <w:rtl w:val="0"/>
              </w:rPr>
              <w:t xml:space="preserve">BBDD SQL y NoSQL</w:t>
            </w:r>
            <w:r w:rsidDel="00000000" w:rsidR="00000000" w:rsidRPr="00000000">
              <w:rPr>
                <w:rtl w:val="0"/>
              </w:rPr>
            </w:r>
          </w:p>
        </w:tc>
        <w:tc>
          <w:tcPr>
            <w:vMerge w:val="restart"/>
            <w:shd w:fill="dbe5f1" w:val="clear"/>
            <w:vAlign w:val="center"/>
          </w:tcPr>
          <w:p w:rsidR="00000000" w:rsidDel="00000000" w:rsidP="00000000" w:rsidRDefault="00000000" w:rsidRPr="00000000" w14:paraId="00000005">
            <w:pPr>
              <w:widowControl w:val="0"/>
              <w:jc w:val="center"/>
              <w:rPr>
                <w:rFonts w:ascii="Calibri" w:cs="Calibri" w:eastAsia="Calibri" w:hAnsi="Calibri"/>
                <w:i w:val="1"/>
              </w:rPr>
            </w:pPr>
            <w:r w:rsidDel="00000000" w:rsidR="00000000" w:rsidRPr="00000000">
              <w:rPr>
                <w:rFonts w:ascii="Calibri" w:cs="Calibri" w:eastAsia="Calibri" w:hAnsi="Calibri"/>
                <w:i w:val="1"/>
                <w:rtl w:val="0"/>
              </w:rPr>
              <w:t xml:space="preserve">Curso 2022-23 </w:t>
            </w:r>
          </w:p>
          <w:p w:rsidR="00000000" w:rsidDel="00000000" w:rsidP="00000000" w:rsidRDefault="00000000" w:rsidRPr="00000000" w14:paraId="00000006">
            <w:pPr>
              <w:widowControl w:val="0"/>
              <w:jc w:val="center"/>
              <w:rPr>
                <w:rFonts w:ascii="Calibri" w:cs="Calibri" w:eastAsia="Calibri" w:hAnsi="Calibri"/>
                <w:i w:val="1"/>
              </w:rPr>
            </w:pPr>
            <w:r w:rsidDel="00000000" w:rsidR="00000000" w:rsidRPr="00000000">
              <w:rPr>
                <w:rFonts w:ascii="Calibri" w:cs="Calibri" w:eastAsia="Calibri" w:hAnsi="Calibri"/>
                <w:i w:val="1"/>
                <w:rtl w:val="0"/>
              </w:rPr>
              <w:t xml:space="preserve">1ª Ev</w:t>
            </w:r>
          </w:p>
          <w:p w:rsidR="00000000" w:rsidDel="00000000" w:rsidP="00000000" w:rsidRDefault="00000000" w:rsidRPr="00000000" w14:paraId="00000007">
            <w:pPr>
              <w:widowControl w:val="0"/>
              <w:rPr>
                <w:rFonts w:ascii="Calibri" w:cs="Calibri" w:eastAsia="Calibri" w:hAnsi="Calibri"/>
                <w:b w:val="1"/>
                <w:i w:val="1"/>
              </w:rPr>
            </w:pPr>
            <w:r w:rsidDel="00000000" w:rsidR="00000000" w:rsidRPr="00000000">
              <w:rPr>
                <w:rtl w:val="0"/>
              </w:rPr>
            </w:r>
          </w:p>
        </w:tc>
      </w:tr>
      <w:tr>
        <w:trPr>
          <w:cantSplit w:val="0"/>
          <w:trHeight w:val="505" w:hRule="atLeast"/>
          <w:tblHeader w:val="0"/>
        </w:trPr>
        <w:tc>
          <w:tcPr>
            <w:gridSpan w:val="2"/>
            <w:shd w:fill="dbe5f1" w:val="clear"/>
            <w:vAlign w:val="center"/>
          </w:tcPr>
          <w:p w:rsidR="00000000" w:rsidDel="00000000" w:rsidP="00000000" w:rsidRDefault="00000000" w:rsidRPr="00000000" w14:paraId="00000008">
            <w:pPr>
              <w:widowControl w:val="0"/>
              <w:rPr>
                <w:rFonts w:ascii="Calibri" w:cs="Calibri" w:eastAsia="Calibri" w:hAnsi="Calibri"/>
                <w:b w:val="1"/>
                <w:i w:val="1"/>
              </w:rPr>
            </w:pPr>
            <w:r w:rsidDel="00000000" w:rsidR="00000000" w:rsidRPr="00000000">
              <w:rPr>
                <w:rFonts w:ascii="Calibri" w:cs="Calibri" w:eastAsia="Calibri" w:hAnsi="Calibri"/>
                <w:i w:val="1"/>
                <w:rtl w:val="0"/>
              </w:rPr>
              <w:t xml:space="preserve">Nombre: </w:t>
            </w:r>
            <w:r w:rsidDel="00000000" w:rsidR="00000000" w:rsidRPr="00000000">
              <w:rPr>
                <w:rFonts w:ascii="Calibri" w:cs="Calibri" w:eastAsia="Calibri" w:hAnsi="Calibri"/>
                <w:b w:val="1"/>
                <w:i w:val="1"/>
                <w:rtl w:val="0"/>
              </w:rPr>
              <w:t xml:space="preserve">Marco Batista Calado</w:t>
            </w:r>
          </w:p>
          <w:p w:rsidR="00000000" w:rsidDel="00000000" w:rsidP="00000000" w:rsidRDefault="00000000" w:rsidRPr="00000000" w14:paraId="00000009">
            <w:pPr>
              <w:widowControl w:val="0"/>
              <w:rPr>
                <w:rFonts w:ascii="Calibri" w:cs="Calibri" w:eastAsia="Calibri" w:hAnsi="Calibri"/>
              </w:rPr>
            </w:pPr>
            <w:r w:rsidDel="00000000" w:rsidR="00000000" w:rsidRPr="00000000">
              <w:rPr>
                <w:rtl w:val="0"/>
              </w:rPr>
            </w:r>
          </w:p>
        </w:tc>
        <w:tc>
          <w:tcPr>
            <w:vMerge w:val="continue"/>
            <w:shd w:fill="dbe5f1" w:val="clear"/>
            <w:vAlign w:val="center"/>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tc>
      </w:tr>
    </w:tbl>
    <w:p w:rsidR="00000000" w:rsidDel="00000000" w:rsidP="00000000" w:rsidRDefault="00000000" w:rsidRPr="00000000" w14:paraId="0000000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partir del punto 8 de los apuntes en el que hay algo de información sobre bases de datos relacionales y las que no lo son investiga para dejar claro en qué consisten unas y otras y exponlo a continuación: </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F">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0">
      <w:pPr>
        <w:jc w:val="both"/>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Imaginemos por un momento una ciudad como Medellín (Colombia), donde todas las personas hablan el mismo idioma, por tanto es la única forma de que todos los residentes se comuniquen e interactúen.</w:t>
      </w:r>
      <w:r w:rsidDel="00000000" w:rsidR="00000000" w:rsidRPr="00000000">
        <w:rPr>
          <w:rFonts w:ascii="Calibri" w:cs="Calibri" w:eastAsia="Calibri" w:hAnsi="Calibri"/>
          <w:b w:val="1"/>
          <w:sz w:val="22"/>
          <w:szCs w:val="22"/>
          <w:rtl w:val="0"/>
        </w:rPr>
        <w:t xml:space="preserve"> Si se cambia ese idioma se perjudican todos los residentes.</w:t>
      </w:r>
    </w:p>
    <w:p w:rsidR="00000000" w:rsidDel="00000000" w:rsidP="00000000" w:rsidRDefault="00000000" w:rsidRPr="00000000" w14:paraId="00000011">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2">
      <w:pPr>
        <w:jc w:val="both"/>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Las bases de datos relacionales utilizan un lenguaje de consulta estructurado para la manipulación de datos, estas se conforman por filas, columnas y registros y se almacenan por tablas. Para manipular los datos en SQL, se requiere primero determinar la estructura de estos,</w:t>
      </w:r>
      <w:r w:rsidDel="00000000" w:rsidR="00000000" w:rsidRPr="00000000">
        <w:rPr>
          <w:rFonts w:ascii="Calibri" w:cs="Calibri" w:eastAsia="Calibri" w:hAnsi="Calibri"/>
          <w:b w:val="1"/>
          <w:sz w:val="22"/>
          <w:szCs w:val="22"/>
          <w:rtl w:val="0"/>
        </w:rPr>
        <w:t xml:space="preserve"> si se cambia la estructura de uno de los datos, puede perjudicar todo el sistema, ya que las tablas están relacionadas.</w:t>
      </w:r>
    </w:p>
    <w:p w:rsidR="00000000" w:rsidDel="00000000" w:rsidP="00000000" w:rsidRDefault="00000000" w:rsidRPr="00000000" w14:paraId="00000013">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4">
      <w:pPr>
        <w:jc w:val="both"/>
        <w:rPr>
          <w:rFonts w:ascii="Calibri" w:cs="Calibri" w:eastAsia="Calibri" w:hAnsi="Calibri"/>
          <w:color w:val="5a5a5a"/>
          <w:sz w:val="22"/>
          <w:szCs w:val="22"/>
          <w:highlight w:val="white"/>
        </w:rPr>
      </w:pPr>
      <w:r w:rsidDel="00000000" w:rsidR="00000000" w:rsidRPr="00000000">
        <w:rPr>
          <w:rFonts w:ascii="Calibri" w:cs="Calibri" w:eastAsia="Calibri" w:hAnsi="Calibri"/>
          <w:sz w:val="22"/>
          <w:szCs w:val="22"/>
          <w:rtl w:val="0"/>
        </w:rPr>
        <w:t xml:space="preserve">Ahora imaginemos otra ciudad como Bogotá (Colombia) y pensemos hipotéticamente que en cada uno de los hogares se habla un idioma diferente, todos interactúan distinto y no hay entendimiento entre todos, pero nadie afecta a nadie. Las bases de datos no relacionales tienen un esquema dinámico, no se requiere la estructura de los datos para su manipulación. Los datos se pueden almacenar de cualquier manera, columnas, documentos, gráficos, etc, y cada documento puede tener su propia estructura, sin afectar los demás, puede agregar más campos a medida que se avanza. Están conformadas por documentos, campos y datos del documento, además, se almacenan por colecciones.</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Montserrat" w:cs="Montserrat" w:eastAsia="Montserrat" w:hAnsi="Montserrat"/>
          <w:color w:val="5a5a5a"/>
          <w:sz w:val="26"/>
          <w:szCs w:val="26"/>
          <w:highlight w:val="whit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Montserrat" w:cs="Montserrat" w:eastAsia="Montserrat" w:hAnsi="Montserrat"/>
          <w:color w:val="5a5a5a"/>
          <w:sz w:val="26"/>
          <w:szCs w:val="26"/>
          <w:highlight w:val="whit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Montserrat" w:cs="Montserrat" w:eastAsia="Montserrat" w:hAnsi="Montserrat"/>
          <w:color w:val="5a5a5a"/>
          <w:sz w:val="26"/>
          <w:szCs w:val="26"/>
          <w:highlight w:val="whit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Montserrat" w:cs="Montserrat" w:eastAsia="Montserrat" w:hAnsi="Montserrat"/>
          <w:color w:val="5a5a5a"/>
          <w:sz w:val="26"/>
          <w:szCs w:val="26"/>
          <w:highlight w:val="whit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Montserrat" w:cs="Montserrat" w:eastAsia="Montserrat" w:hAnsi="Montserrat"/>
          <w:color w:val="5a5a5a"/>
          <w:sz w:val="26"/>
          <w:szCs w:val="26"/>
          <w:highlight w:val="whit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Montserrat" w:cs="Montserrat" w:eastAsia="Montserrat" w:hAnsi="Montserrat"/>
          <w:color w:val="5a5a5a"/>
          <w:sz w:val="26"/>
          <w:szCs w:val="26"/>
          <w:highlight w:val="whit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Montserrat" w:cs="Montserrat" w:eastAsia="Montserrat" w:hAnsi="Montserrat"/>
          <w:color w:val="5a5a5a"/>
          <w:sz w:val="26"/>
          <w:szCs w:val="26"/>
          <w:highlight w:val="whit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Montserrat" w:cs="Montserrat" w:eastAsia="Montserrat" w:hAnsi="Montserrat"/>
          <w:color w:val="5a5a5a"/>
          <w:sz w:val="26"/>
          <w:szCs w:val="26"/>
          <w:highlight w:val="whit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Montserrat" w:cs="Montserrat" w:eastAsia="Montserrat" w:hAnsi="Montserrat"/>
          <w:color w:val="5a5a5a"/>
          <w:sz w:val="26"/>
          <w:szCs w:val="26"/>
          <w:highlight w:val="whit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Montserrat" w:cs="Montserrat" w:eastAsia="Montserrat" w:hAnsi="Montserrat"/>
          <w:color w:val="5a5a5a"/>
          <w:sz w:val="26"/>
          <w:szCs w:val="26"/>
          <w:highlight w:val="whit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114300</wp:posOffset>
            </wp:positionV>
            <wp:extent cx="4324668" cy="3778472"/>
            <wp:effectExtent b="0" l="0" r="0" t="0"/>
            <wp:wrapSquare wrapText="bothSides" distB="0" distT="0" distL="0" distR="0"/>
            <wp:docPr id="13" name="image4.png"/>
            <a:graphic>
              <a:graphicData uri="http://schemas.openxmlformats.org/drawingml/2006/picture">
                <pic:pic>
                  <pic:nvPicPr>
                    <pic:cNvPr id="0" name="image4.png"/>
                    <pic:cNvPicPr preferRelativeResize="0"/>
                  </pic:nvPicPr>
                  <pic:blipFill>
                    <a:blip r:embed="rId6"/>
                    <a:srcRect b="953" l="0" r="0" t="0"/>
                    <a:stretch>
                      <a:fillRect/>
                    </a:stretch>
                  </pic:blipFill>
                  <pic:spPr>
                    <a:xfrm>
                      <a:off x="0" y="0"/>
                      <a:ext cx="4324668" cy="3778472"/>
                    </a:xfrm>
                    <a:prstGeom prst="rect"/>
                    <a:ln/>
                  </pic:spPr>
                </pic:pic>
              </a:graphicData>
            </a:graphic>
          </wp:anchor>
        </w:drawing>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Montserrat" w:cs="Montserrat" w:eastAsia="Montserrat" w:hAnsi="Montserrat"/>
          <w:color w:val="5a5a5a"/>
          <w:sz w:val="26"/>
          <w:szCs w:val="26"/>
          <w:highlight w:val="white"/>
        </w:rPr>
      </w:pPr>
      <w:r w:rsidDel="00000000" w:rsidR="00000000" w:rsidRPr="00000000">
        <w:rPr>
          <w:rtl w:val="0"/>
        </w:rPr>
      </w:r>
    </w:p>
    <w:p w:rsidR="00000000" w:rsidDel="00000000" w:rsidP="00000000" w:rsidRDefault="00000000" w:rsidRPr="00000000" w14:paraId="0000002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9">
      <w:pPr>
        <w:rPr>
          <w:rFonts w:ascii="Calibri" w:cs="Calibri" w:eastAsia="Calibri" w:hAnsi="Calibri"/>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4267200</wp:posOffset>
            </wp:positionH>
            <wp:positionV relativeFrom="paragraph">
              <wp:posOffset>199454</wp:posOffset>
            </wp:positionV>
            <wp:extent cx="4702488" cy="1685925"/>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7"/>
                    <a:srcRect b="0" l="0" r="0" t="-2763"/>
                    <a:stretch>
                      <a:fillRect/>
                    </a:stretch>
                  </pic:blipFill>
                  <pic:spPr>
                    <a:xfrm>
                      <a:off x="0" y="0"/>
                      <a:ext cx="4702488" cy="1685925"/>
                    </a:xfrm>
                    <a:prstGeom prst="rect"/>
                    <a:ln/>
                  </pic:spPr>
                </pic:pic>
              </a:graphicData>
            </a:graphic>
          </wp:anchor>
        </w:drawing>
      </w:r>
    </w:p>
    <w:p w:rsidR="00000000" w:rsidDel="00000000" w:rsidP="00000000" w:rsidRDefault="00000000" w:rsidRPr="00000000" w14:paraId="0000002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las imágenes del punto 8 aparecen los siguientes términos:</w:t>
      </w:r>
    </w:p>
    <w:p w:rsidR="00000000" w:rsidDel="00000000" w:rsidP="00000000" w:rsidRDefault="00000000" w:rsidRPr="00000000" w14:paraId="0000004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NoSQL: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son bases de datos diseñadas</w:t>
      </w:r>
      <w:r w:rsidDel="00000000" w:rsidR="00000000" w:rsidRPr="00000000">
        <w:rPr>
          <w:rFonts w:ascii="Calibri" w:cs="Calibri" w:eastAsia="Calibri" w:hAnsi="Calibri"/>
          <w:sz w:val="22"/>
          <w:szCs w:val="22"/>
          <w:vertAlign w:val="baseline"/>
          <w:rtl w:val="0"/>
        </w:rPr>
        <w:t xml:space="preserve"> </w:t>
      </w:r>
      <w:r w:rsidDel="00000000" w:rsidR="00000000" w:rsidRPr="00000000">
        <w:rPr>
          <w:rFonts w:ascii="Calibri" w:cs="Calibri" w:eastAsia="Calibri" w:hAnsi="Calibri"/>
          <w:sz w:val="22"/>
          <w:szCs w:val="22"/>
          <w:rtl w:val="0"/>
        </w:rPr>
        <w:t xml:space="preserve">específicamente para modelos de datos específicos y tienen esquemas flexibles para crear aplicaciones modernas. Son ampliamente reconocidas porque son fáciles de desarrollar, tanto en funcionalidad  como en rendimiento a escala. </w:t>
      </w:r>
      <w:r w:rsidDel="00000000" w:rsidR="00000000" w:rsidRPr="00000000">
        <w:rPr>
          <w:rFonts w:ascii="Calibri" w:cs="Calibri" w:eastAsia="Calibri" w:hAnsi="Calibri"/>
          <w:b w:val="1"/>
          <w:sz w:val="22"/>
          <w:szCs w:val="22"/>
          <w:rtl w:val="0"/>
        </w:rPr>
        <w:t xml:space="preserve">Usan una variedad de modelos de datos, que incluyen documentos, gráficos, clave-valor, en-memoria y búsqueda. </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Son las que, a diferencia de las relacionales, no tienen un identificador que sirva de relación entre un conjunto de datos y otros. Como veremos, la información se organiza normalmente mediante documentos y es muy útil cuando no tenemos un esquema exacto de lo que se va a almacenar. </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 relación a formatos, la información de una base de datos puede ser almacenada en tablas o documentos. Cuando los datos son organizados en un archivo de Excel, es en formato tabla, pero cuando simplemente son datos escritos como cartas, fórmulas o recetas,  son datos en formato documento. Esto aplica para los dos tipos de bases de datos.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Atomicidad: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sz w:val="22"/>
          <w:szCs w:val="22"/>
          <w:rtl w:val="0"/>
        </w:rPr>
        <w:t xml:space="preserve">requiere que cada transacción sea "todo o nada": si una parte de la transacción falla, todas las operaciones de la transacción fallan, y por lo tanto la base de datos no sufre cambios. Un sistema atómico tiene que garantizar la atomicidad en cualquier operación y situación, incluyendo fallas de alimentación eléctrica, errores y caídas del sistema.</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1"/>
          <w:i w:val="0"/>
          <w:smallCaps w:val="0"/>
          <w:strike w:val="0"/>
          <w:color w:val="00000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Consistencia:</w:t>
      </w:r>
      <w:r w:rsidDel="00000000" w:rsidR="00000000" w:rsidRPr="00000000">
        <w:rPr>
          <w:rFonts w:ascii="Calibri" w:cs="Calibri" w:eastAsia="Calibri" w:hAnsi="Calibri"/>
          <w:sz w:val="22"/>
          <w:szCs w:val="22"/>
          <w:vertAlign w:val="baseline"/>
          <w:rtl w:val="0"/>
        </w:rPr>
        <w:t xml:space="preserve"> </w:t>
      </w:r>
      <w:r w:rsidDel="00000000" w:rsidR="00000000" w:rsidRPr="00000000">
        <w:rPr>
          <w:rFonts w:ascii="Calibri" w:cs="Calibri" w:eastAsia="Calibri" w:hAnsi="Calibri"/>
          <w:sz w:val="22"/>
          <w:szCs w:val="22"/>
          <w:rtl w:val="0"/>
        </w:rPr>
        <w:t xml:space="preserve">se asegura que cualquier transacción llevará a la base de datos de un estado válido a otro estado válido. Cualquier dato que se escriba en la base de datos tiene que ser válido de acuerdo a todas las reglas definidas, incluyendo (pero no limitado a) los constraints, los cascades, los triggers, y cualquier combinación de estos.</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1"/>
          <w:i w:val="0"/>
          <w:smallCaps w:val="0"/>
          <w:strike w:val="0"/>
          <w:color w:val="00000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Aislamiento: </w:t>
      </w:r>
      <w:r w:rsidDel="00000000" w:rsidR="00000000" w:rsidRPr="00000000">
        <w:rPr>
          <w:rFonts w:ascii="Calibri" w:cs="Calibri" w:eastAsia="Calibri" w:hAnsi="Calibri"/>
          <w:sz w:val="22"/>
          <w:szCs w:val="22"/>
          <w:rtl w:val="0"/>
        </w:rPr>
        <w:t xml:space="preserve">se asegura que la ejecución concurrente de las transacciones resulte en un estado del sistema que se obtendría si estas transacciones fueran ejecutadas una detrás de otra. Cada transacción debe ejecutarse en aislamiento total; por ejemplo, si T1 y T2 se ejecutan concurrentemente, luego cada una debe mantenerse independiente de la otra.</w:t>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1"/>
          <w:i w:val="0"/>
          <w:smallCaps w:val="0"/>
          <w:strike w:val="0"/>
          <w:color w:val="00000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Durabilidad:</w:t>
      </w:r>
      <w:r w:rsidDel="00000000" w:rsidR="00000000" w:rsidRPr="00000000">
        <w:rPr>
          <w:rFonts w:ascii="Calibri" w:cs="Calibri" w:eastAsia="Calibri" w:hAnsi="Calibri"/>
          <w:sz w:val="22"/>
          <w:szCs w:val="22"/>
          <w:vertAlign w:val="baseline"/>
          <w:rtl w:val="0"/>
        </w:rPr>
        <w:t xml:space="preserve"> </w:t>
      </w:r>
      <w:r w:rsidDel="00000000" w:rsidR="00000000" w:rsidRPr="00000000">
        <w:rPr>
          <w:rFonts w:ascii="Calibri" w:cs="Calibri" w:eastAsia="Calibri" w:hAnsi="Calibri"/>
          <w:sz w:val="22"/>
          <w:szCs w:val="22"/>
          <w:rtl w:val="0"/>
        </w:rPr>
        <w:t xml:space="preserve">significa que una vez que se confirmó una transacción (commit), quedará persistida, incluso ante eventos como pérdida de alimentación eléctrica, errores y caídas del sistema. Por ejemplo, en las bases de datos relacionales, una vez que se ejecuta un grupo de sentencias SQL, los resultados tienen que almacenarse inmediatamente (incluso si la base de datos se cae inmediatamente luego).</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5406260</wp:posOffset>
            </wp:positionH>
            <wp:positionV relativeFrom="paragraph">
              <wp:posOffset>133350</wp:posOffset>
            </wp:positionV>
            <wp:extent cx="3486467" cy="1858269"/>
            <wp:effectExtent b="0" l="0" r="0" t="0"/>
            <wp:wrapSquare wrapText="bothSides" distB="114300" distT="114300" distL="114300" distR="114300"/>
            <wp:docPr id="1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486467" cy="1858269"/>
                    </a:xfrm>
                    <a:prstGeom prst="rect"/>
                    <a:ln/>
                  </pic:spPr>
                </pic:pic>
              </a:graphicData>
            </a:graphic>
          </wp:anchor>
        </w:drawing>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1"/>
          <w:i w:val="0"/>
          <w:smallCaps w:val="0"/>
          <w:strike w:val="0"/>
          <w:color w:val="00000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Escalar horizontalmente:</w:t>
      </w:r>
      <w:r w:rsidDel="00000000" w:rsidR="00000000" w:rsidRPr="00000000">
        <w:rPr>
          <w:rFonts w:ascii="Calibri" w:cs="Calibri" w:eastAsia="Calibri" w:hAnsi="Calibri"/>
          <w:sz w:val="22"/>
          <w:szCs w:val="22"/>
          <w:vertAlign w:val="baseline"/>
          <w:rtl w:val="0"/>
        </w:rPr>
        <w:t xml:space="preserve"> </w:t>
      </w:r>
      <w:r w:rsidDel="00000000" w:rsidR="00000000" w:rsidRPr="00000000">
        <w:rPr>
          <w:rFonts w:ascii="Calibri" w:cs="Calibri" w:eastAsia="Calibri" w:hAnsi="Calibri"/>
          <w:sz w:val="22"/>
          <w:szCs w:val="22"/>
          <w:rtl w:val="0"/>
        </w:rPr>
        <w:t xml:space="preserve">implica tener diversos servidores que conocemos como nodos, trabajando como un todo. Se configuran en forma de una red de servidores denominada clúster. Esta tiene la finalidad de dividir eficientemente la demanda de trabajo entre todos los nodos que conforman la red de servidores. Es uno de los principales atributos de las bases de datos NoSQL. Esto debido a que el crecimiento es sumamente extenso y técnicamente no tiene límites. Podríamos agregar cuantos servidores sean necesarios.</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Calibri" w:cs="Calibri" w:eastAsia="Calibri" w:hAnsi="Calibri"/>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5629275</wp:posOffset>
            </wp:positionH>
            <wp:positionV relativeFrom="paragraph">
              <wp:posOffset>135063</wp:posOffset>
            </wp:positionV>
            <wp:extent cx="3048603" cy="1857375"/>
            <wp:effectExtent b="0" l="0" r="0" t="0"/>
            <wp:wrapSquare wrapText="bothSides" distB="114300" distT="114300" distL="114300" distR="114300"/>
            <wp:docPr id="1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048603" cy="1857375"/>
                    </a:xfrm>
                    <a:prstGeom prst="rect"/>
                    <a:ln/>
                  </pic:spPr>
                </pic:pic>
              </a:graphicData>
            </a:graphic>
          </wp:anchor>
        </w:drawing>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9">
      <w:pPr>
        <w:numPr>
          <w:ilvl w:val="0"/>
          <w:numId w:val="2"/>
        </w:numPr>
        <w:ind w:left="1440" w:hanging="36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u w:val="single"/>
          <w:vertAlign w:val="baseline"/>
          <w:rtl w:val="0"/>
        </w:rPr>
        <w:t xml:space="preserve">Clave-valor:</w:t>
      </w:r>
      <w:r w:rsidDel="00000000" w:rsidR="00000000" w:rsidRPr="00000000">
        <w:rPr>
          <w:rFonts w:ascii="Calibri" w:cs="Calibri" w:eastAsia="Calibri" w:hAnsi="Calibri"/>
          <w:sz w:val="22"/>
          <w:szCs w:val="22"/>
          <w:vertAlign w:val="baseline"/>
          <w:rtl w:val="0"/>
        </w:rPr>
        <w:t xml:space="preserve"> </w:t>
      </w:r>
      <w:r w:rsidDel="00000000" w:rsidR="00000000" w:rsidRPr="00000000">
        <w:rPr>
          <w:rFonts w:ascii="Calibri" w:cs="Calibri" w:eastAsia="Calibri" w:hAnsi="Calibri"/>
          <w:sz w:val="22"/>
          <w:szCs w:val="22"/>
          <w:rtl w:val="0"/>
        </w:rPr>
        <w:t xml:space="preserve">Una base de datos clave-valor almacena datos como un conjunto de pares clave-valor en los que una clave sirve como un identificador único. Tanto las claves como los valores pueden ser cualquier cosa, desde objetos simples hasta objetos compuestos complejos. Las bases de datos clave-valor son altamente divisibles y permiten el escalado horizontal a escalas que otros tipos de bases de datos no pueden alcanzar. </w:t>
      </w:r>
    </w:p>
    <w:p w:rsidR="00000000" w:rsidDel="00000000" w:rsidP="00000000" w:rsidRDefault="00000000" w:rsidRPr="00000000" w14:paraId="0000005A">
      <w:pPr>
        <w:jc w:val="both"/>
        <w:rPr>
          <w:rFonts w:ascii="Calibri" w:cs="Calibri" w:eastAsia="Calibri" w:hAnsi="Calibri"/>
          <w:sz w:val="22"/>
          <w:szCs w:val="22"/>
        </w:rPr>
      </w:pPr>
      <w:r w:rsidDel="00000000" w:rsidR="00000000" w:rsidRPr="00000000">
        <w:rPr>
          <w:rFonts w:ascii="Calibri" w:cs="Calibri" w:eastAsia="Calibri" w:hAnsi="Calibri"/>
          <w:sz w:val="22"/>
          <w:szCs w:val="22"/>
        </w:rPr>
        <w:drawing>
          <wp:anchor allowOverlap="1" behindDoc="0" distB="0" distT="0" distL="0" distR="0" hidden="0" layoutInCell="1" locked="0" relativeHeight="0" simplePos="0">
            <wp:simplePos x="0" y="0"/>
            <wp:positionH relativeFrom="page">
              <wp:posOffset>333375</wp:posOffset>
            </wp:positionH>
            <wp:positionV relativeFrom="page">
              <wp:posOffset>4323720</wp:posOffset>
            </wp:positionV>
            <wp:extent cx="981075" cy="857250"/>
            <wp:effectExtent b="0" l="0" r="0" t="0"/>
            <wp:wrapSquare wrapText="bothSides" distB="0" distT="0" distL="0" distR="0"/>
            <wp:docPr id="14" name="image3.png"/>
            <a:graphic>
              <a:graphicData uri="http://schemas.openxmlformats.org/drawingml/2006/picture">
                <pic:pic>
                  <pic:nvPicPr>
                    <pic:cNvPr id="0" name="image3.png"/>
                    <pic:cNvPicPr preferRelativeResize="0"/>
                  </pic:nvPicPr>
                  <pic:blipFill>
                    <a:blip r:embed="rId10"/>
                    <a:srcRect b="0" l="18440" r="21123" t="0"/>
                    <a:stretch>
                      <a:fillRect/>
                    </a:stretch>
                  </pic:blipFill>
                  <pic:spPr>
                    <a:xfrm>
                      <a:off x="0" y="0"/>
                      <a:ext cx="981075" cy="857250"/>
                    </a:xfrm>
                    <a:prstGeom prst="rect"/>
                    <a:ln/>
                  </pic:spPr>
                </pic:pic>
              </a:graphicData>
            </a:graphic>
          </wp:anchor>
        </w:drawing>
      </w:r>
      <w:r w:rsidDel="00000000" w:rsidR="00000000" w:rsidRPr="00000000">
        <w:rPr>
          <w:rtl w:val="0"/>
        </w:rPr>
      </w:r>
    </w:p>
    <w:p w:rsidR="00000000" w:rsidDel="00000000" w:rsidP="00000000" w:rsidRDefault="00000000" w:rsidRPr="00000000" w14:paraId="0000005B">
      <w:pPr>
        <w:numPr>
          <w:ilvl w:val="0"/>
          <w:numId w:val="2"/>
        </w:numPr>
        <w:ind w:left="1440" w:hanging="360"/>
        <w:jc w:val="both"/>
        <w:rPr>
          <w:rFonts w:ascii="Calibri" w:cs="Calibri" w:eastAsia="Calibri" w:hAnsi="Calibri"/>
          <w:sz w:val="22"/>
          <w:szCs w:val="22"/>
        </w:rPr>
      </w:pPr>
      <w:r w:rsidDel="00000000" w:rsidR="00000000" w:rsidRPr="00000000">
        <w:rPr>
          <w:rFonts w:ascii="Calibri" w:cs="Calibri" w:eastAsia="Calibri" w:hAnsi="Calibri"/>
          <w:b w:val="1"/>
          <w:sz w:val="22"/>
          <w:szCs w:val="22"/>
          <w:u w:val="single"/>
          <w:vertAlign w:val="baseline"/>
          <w:rtl w:val="0"/>
        </w:rPr>
        <w:t xml:space="preserve">Big Table:</w:t>
      </w:r>
      <w:r w:rsidDel="00000000" w:rsidR="00000000" w:rsidRPr="00000000">
        <w:rPr>
          <w:rFonts w:ascii="Calibri" w:cs="Calibri" w:eastAsia="Calibri" w:hAnsi="Calibri"/>
          <w:sz w:val="22"/>
          <w:szCs w:val="22"/>
          <w:vertAlign w:val="baseline"/>
          <w:rtl w:val="0"/>
        </w:rPr>
        <w:t xml:space="preserve"> es</w:t>
      </w:r>
      <w:r w:rsidDel="00000000" w:rsidR="00000000" w:rsidRPr="00000000">
        <w:rPr>
          <w:rFonts w:ascii="Calibri" w:cs="Calibri" w:eastAsia="Calibri" w:hAnsi="Calibri"/>
          <w:sz w:val="22"/>
          <w:szCs w:val="22"/>
          <w:rtl w:val="0"/>
        </w:rPr>
        <w:t xml:space="preserve"> de Google no sql, Bigtable es un mapa distribuido ordenado y multidimensional con tres dimensiones: filas, columnas y marca temporal. ¿Cómo se relacionan entre sí? Es un sistema que divide los datos en columnas para almacenar toda la información en tablas compuestas por celdas. Cada una de esas celdas dispone de una marca temporal que permite visualizar la evolución de ese dato a lo largo del tiempo.</w:t>
      </w:r>
    </w:p>
    <w:p w:rsidR="00000000" w:rsidDel="00000000" w:rsidP="00000000" w:rsidRDefault="00000000" w:rsidRPr="00000000" w14:paraId="0000005C">
      <w:pPr>
        <w:jc w:val="both"/>
        <w:rPr>
          <w:rFonts w:ascii="Calibri" w:cs="Calibri" w:eastAsia="Calibri" w:hAnsi="Calibri"/>
          <w:b w:val="1"/>
          <w:sz w:val="22"/>
          <w:szCs w:val="22"/>
          <w:u w:val="singl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BD documentales:</w:t>
      </w:r>
      <w:r w:rsidDel="00000000" w:rsidR="00000000" w:rsidRPr="00000000">
        <w:rPr>
          <w:rFonts w:ascii="Calibri" w:cs="Calibri" w:eastAsia="Calibri" w:hAnsi="Calibri"/>
          <w:sz w:val="22"/>
          <w:szCs w:val="22"/>
          <w:vertAlign w:val="baseline"/>
          <w:rtl w:val="0"/>
        </w:rPr>
        <w:t xml:space="preserve"> </w:t>
      </w:r>
      <w:r w:rsidDel="00000000" w:rsidR="00000000" w:rsidRPr="00000000">
        <w:rPr>
          <w:rFonts w:ascii="Calibri" w:cs="Calibri" w:eastAsia="Calibri" w:hAnsi="Calibri"/>
          <w:sz w:val="22"/>
          <w:szCs w:val="22"/>
          <w:rtl w:val="0"/>
        </w:rPr>
        <w:t xml:space="preserve">almacenan datos semiestructurados sin un esquema predefinido. La información se almacena en documentos que incluyen todas las características del registro, y las consultas se realizan en base a estos documentos. Esto las diferencia de las bases relacionales que organizan la información en tablas y las consultas se realizan en base a los campos (columnas) de dichas tablas. Las bases de datos documentales se usan principalmente para almacenar grandes cantidades de datos, o cuando se trata de información poco estructurada.</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i w:val="0"/>
          <w:smallCaps w:val="0"/>
          <w:strike w:val="0"/>
          <w:color w:val="000000"/>
          <w:sz w:val="22"/>
          <w:szCs w:val="22"/>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BD orientadas a grafos:</w:t>
      </w:r>
      <w:r w:rsidDel="00000000" w:rsidR="00000000" w:rsidRPr="00000000">
        <w:rPr>
          <w:rFonts w:ascii="Calibri" w:cs="Calibri" w:eastAsia="Calibri" w:hAnsi="Calibri"/>
          <w:i w:val="0"/>
          <w:smallCaps w:val="0"/>
          <w:strike w:val="0"/>
          <w:color w:val="000000"/>
          <w:sz w:val="22"/>
          <w:szCs w:val="22"/>
          <w:shd w:fill="auto" w:val="clear"/>
          <w:vertAlign w:val="baseline"/>
          <w:rtl w:val="0"/>
        </w:rPr>
        <w:t xml:space="preserve"> No </w:t>
      </w:r>
      <w:r w:rsidDel="00000000" w:rsidR="00000000" w:rsidRPr="00000000">
        <w:rPr>
          <w:rFonts w:ascii="Calibri" w:cs="Calibri" w:eastAsia="Calibri" w:hAnsi="Calibri"/>
          <w:sz w:val="22"/>
          <w:szCs w:val="22"/>
          <w:rtl w:val="0"/>
        </w:rPr>
        <w:t xml:space="preserve">SQL. T</w:t>
      </w:r>
      <w:r w:rsidDel="00000000" w:rsidR="00000000" w:rsidRPr="00000000">
        <w:rPr>
          <w:rFonts w:ascii="Calibri" w:cs="Calibri" w:eastAsia="Calibri" w:hAnsi="Calibri"/>
          <w:sz w:val="22"/>
          <w:szCs w:val="22"/>
          <w:rtl w:val="0"/>
        </w:rPr>
        <w:t xml:space="preserve">iene su principal característica en que representan la información en vértices y aristas cumpliendo con la disciplina matemática de la Teoría de Grafos. Un grafo estará compuesto por dos elementos: los nodos (vértices) y las relaciones (aristas). Un nodo representa una entidad, en el que almacenaremos piezas de datos o atributos de tipo clave-valor, mientras que las relaciones representan cómo se conectan y se asocian dos nodos.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1962150</wp:posOffset>
            </wp:positionH>
            <wp:positionV relativeFrom="paragraph">
              <wp:posOffset>704850</wp:posOffset>
            </wp:positionV>
            <wp:extent cx="5619750" cy="2847975"/>
            <wp:effectExtent b="0" l="0" r="0" t="0"/>
            <wp:wrapSquare wrapText="bothSides" distB="114300" distT="114300" distL="114300" distR="114300"/>
            <wp:docPr id="11"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619750" cy="2847975"/>
                    </a:xfrm>
                    <a:prstGeom prst="rect"/>
                    <a:ln/>
                  </pic:spPr>
                </pic:pic>
              </a:graphicData>
            </a:graphic>
          </wp:anchor>
        </w:drawing>
      </w:r>
    </w:p>
    <w:p w:rsidR="00000000" w:rsidDel="00000000" w:rsidP="00000000" w:rsidRDefault="00000000" w:rsidRPr="00000000" w14:paraId="0000006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3">
      <w:pPr>
        <w:ind w:left="708"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4">
      <w:pPr>
        <w:ind w:left="708"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5">
      <w:pPr>
        <w:ind w:left="708"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6">
      <w:pPr>
        <w:ind w:left="708"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7">
      <w:pPr>
        <w:ind w:left="708"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8">
      <w:pPr>
        <w:ind w:left="708"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9">
      <w:pPr>
        <w:ind w:left="708"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A">
      <w:pPr>
        <w:ind w:left="708"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B">
      <w:pPr>
        <w:ind w:left="708"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C">
      <w:pPr>
        <w:ind w:left="708"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D">
      <w:pPr>
        <w:ind w:left="708"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E">
      <w:pPr>
        <w:ind w:left="708"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F">
      <w:pPr>
        <w:ind w:left="708"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0">
      <w:pPr>
        <w:ind w:left="708"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1">
      <w:pPr>
        <w:ind w:left="708"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2">
      <w:pPr>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3">
      <w:pPr>
        <w:ind w:left="708"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Explica en qué consiste cada uno de ellos teniendo en cuenta que están relacionados con BD</w:t>
      </w:r>
    </w:p>
    <w:p w:rsidR="00000000" w:rsidDel="00000000" w:rsidP="00000000" w:rsidRDefault="00000000" w:rsidRPr="00000000" w14:paraId="00000074">
      <w:pPr>
        <w:ind w:left="708"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5">
      <w:pPr>
        <w:ind w:left="708"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6">
      <w:pPr>
        <w:ind w:left="708"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7">
      <w:pPr>
        <w:ind w:left="708"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8">
      <w:pPr>
        <w:ind w:left="708"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9">
      <w:pPr>
        <w:ind w:left="708"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A">
      <w:pPr>
        <w:ind w:left="708"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B">
      <w:pPr>
        <w:ind w:left="708"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C">
      <w:pPr>
        <w:ind w:left="708"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D">
      <w:pPr>
        <w:ind w:left="708"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E">
      <w:pPr>
        <w:ind w:left="708"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Busca un ranking con las 10 bases de datos más utilizadas en el mes de junio de este año y rellena la siguiente tabla con información sobre ellas. </w:t>
      </w:r>
    </w:p>
    <w:p w:rsidR="00000000" w:rsidDel="00000000" w:rsidP="00000000" w:rsidRDefault="00000000" w:rsidRPr="00000000" w14:paraId="0000008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tbl>
      <w:tblPr>
        <w:tblStyle w:val="Table2"/>
        <w:tblW w:w="14142.000000000004"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9"/>
        <w:gridCol w:w="1582"/>
        <w:gridCol w:w="1985"/>
        <w:gridCol w:w="2988"/>
        <w:gridCol w:w="3107"/>
        <w:gridCol w:w="1559"/>
        <w:gridCol w:w="2552"/>
        <w:tblGridChange w:id="0">
          <w:tblGrid>
            <w:gridCol w:w="369"/>
            <w:gridCol w:w="1582"/>
            <w:gridCol w:w="1985"/>
            <w:gridCol w:w="2988"/>
            <w:gridCol w:w="3107"/>
            <w:gridCol w:w="1559"/>
            <w:gridCol w:w="2552"/>
          </w:tblGrid>
        </w:tblGridChange>
      </w:tblGrid>
      <w:tr>
        <w:trPr>
          <w:cantSplit w:val="0"/>
          <w:tblHeader w:val="0"/>
        </w:trPr>
        <w:tc>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Nombre</w:t>
            </w:r>
          </w:p>
        </w:tc>
        <w:tc>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Relacional o NoSql</w:t>
            </w:r>
          </w:p>
        </w:tc>
        <w:tc>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Página oficial</w:t>
            </w:r>
          </w:p>
        </w:tc>
        <w:tc>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Principales características</w:t>
            </w:r>
          </w:p>
        </w:tc>
        <w:tc>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Libre o Comercial</w:t>
            </w:r>
          </w:p>
        </w:tc>
        <w:tc>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Logo</w:t>
            </w:r>
          </w:p>
        </w:tc>
      </w:tr>
      <w:tr>
        <w:trPr>
          <w:cantSplit w:val="0"/>
          <w:tblHeader w:val="0"/>
        </w:trPr>
        <w:tc>
          <w:tcPr>
            <w:vAlign w:val="center"/>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sz w:val="20"/>
                <w:szCs w:val="20"/>
                <w:rtl w:val="0"/>
              </w:rPr>
              <w:t xml:space="preserve">Oracle</w:t>
            </w:r>
            <w:r w:rsidDel="00000000" w:rsidR="00000000" w:rsidRPr="00000000">
              <w:rPr>
                <w:rtl w:val="0"/>
              </w:rPr>
            </w:r>
          </w:p>
        </w:tc>
        <w:tc>
          <w:tcPr>
            <w:vAlign w:val="center"/>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sz w:val="20"/>
                <w:szCs w:val="20"/>
                <w:rtl w:val="0"/>
              </w:rPr>
              <w:t xml:space="preserve">Relacional</w:t>
            </w:r>
            <w:r w:rsidDel="00000000" w:rsidR="00000000" w:rsidRPr="00000000">
              <w:rPr>
                <w:rtl w:val="0"/>
              </w:rPr>
            </w:r>
          </w:p>
        </w:tc>
        <w:tc>
          <w:tcPr>
            <w:vAlign w:val="center"/>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0"/>
                <w:szCs w:val="20"/>
              </w:rPr>
            </w:pPr>
            <w:hyperlink r:id="rId12">
              <w:r w:rsidDel="00000000" w:rsidR="00000000" w:rsidRPr="00000000">
                <w:rPr>
                  <w:rFonts w:ascii="Calibri" w:cs="Calibri" w:eastAsia="Calibri" w:hAnsi="Calibri"/>
                  <w:b w:val="1"/>
                  <w:color w:val="1155cc"/>
                  <w:sz w:val="20"/>
                  <w:szCs w:val="20"/>
                  <w:u w:val="single"/>
                  <w:rtl w:val="0"/>
                </w:rPr>
                <w:t xml:space="preserve">Oracle</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008F">
            <w:pPr>
              <w:ind w:left="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90">
            <w:pPr>
              <w:numPr>
                <w:ilvl w:val="0"/>
                <w:numId w:val="6"/>
              </w:numPr>
              <w:ind w:left="425.1968503937013"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Herramienta de </w:t>
            </w:r>
            <w:r w:rsidDel="00000000" w:rsidR="00000000" w:rsidRPr="00000000">
              <w:rPr>
                <w:rFonts w:ascii="Calibri" w:cs="Calibri" w:eastAsia="Calibri" w:hAnsi="Calibri"/>
                <w:b w:val="1"/>
                <w:sz w:val="20"/>
                <w:szCs w:val="20"/>
                <w:rtl w:val="0"/>
              </w:rPr>
              <w:t xml:space="preserve">administración gráfica </w:t>
            </w:r>
            <w:r w:rsidDel="00000000" w:rsidR="00000000" w:rsidRPr="00000000">
              <w:rPr>
                <w:rFonts w:ascii="Calibri" w:cs="Calibri" w:eastAsia="Calibri" w:hAnsi="Calibri"/>
                <w:sz w:val="20"/>
                <w:szCs w:val="20"/>
                <w:rtl w:val="0"/>
              </w:rPr>
              <w:t xml:space="preserve">intuitiva y cómoda de utilizar.</w:t>
            </w:r>
          </w:p>
          <w:p w:rsidR="00000000" w:rsidDel="00000000" w:rsidP="00000000" w:rsidRDefault="00000000" w:rsidRPr="00000000" w14:paraId="00000091">
            <w:pPr>
              <w:numPr>
                <w:ilvl w:val="0"/>
                <w:numId w:val="6"/>
              </w:numPr>
              <w:ind w:left="425.1968503937013" w:hanging="36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Control de acceso</w:t>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092">
            <w:pPr>
              <w:numPr>
                <w:ilvl w:val="0"/>
                <w:numId w:val="6"/>
              </w:numPr>
              <w:ind w:left="425.1968503937013" w:hanging="36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Protección de datos</w:t>
            </w:r>
            <w:r w:rsidDel="00000000" w:rsidR="00000000" w:rsidRPr="00000000">
              <w:rPr>
                <w:rtl w:val="0"/>
              </w:rPr>
            </w:r>
          </w:p>
          <w:p w:rsidR="00000000" w:rsidDel="00000000" w:rsidP="00000000" w:rsidRDefault="00000000" w:rsidRPr="00000000" w14:paraId="00000093">
            <w:pPr>
              <w:numPr>
                <w:ilvl w:val="0"/>
                <w:numId w:val="6"/>
              </w:numPr>
              <w:ind w:left="425.1968503937013" w:hanging="36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Lenguaje de diseño de bases de datos muy completo (PL/SQL)</w:t>
            </w:r>
            <w:r w:rsidDel="00000000" w:rsidR="00000000" w:rsidRPr="00000000">
              <w:rPr>
                <w:rtl w:val="0"/>
              </w:rPr>
            </w:r>
          </w:p>
          <w:p w:rsidR="00000000" w:rsidDel="00000000" w:rsidP="00000000" w:rsidRDefault="00000000" w:rsidRPr="00000000" w14:paraId="00000094">
            <w:pPr>
              <w:numPr>
                <w:ilvl w:val="0"/>
                <w:numId w:val="6"/>
              </w:numPr>
              <w:ind w:left="425.1968503937013" w:hanging="36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Alta disponibilidad</w:t>
            </w:r>
            <w:r w:rsidDel="00000000" w:rsidR="00000000" w:rsidRPr="00000000">
              <w:rPr>
                <w:rtl w:val="0"/>
              </w:rPr>
            </w:r>
          </w:p>
          <w:p w:rsidR="00000000" w:rsidDel="00000000" w:rsidP="00000000" w:rsidRDefault="00000000" w:rsidRPr="00000000" w14:paraId="00000095">
            <w:pPr>
              <w:numPr>
                <w:ilvl w:val="0"/>
                <w:numId w:val="6"/>
              </w:numPr>
              <w:ind w:left="425.1968503937013" w:hanging="36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Gestión de usuarios:</w:t>
            </w:r>
            <w:r w:rsidDel="00000000" w:rsidR="00000000" w:rsidRPr="00000000">
              <w:rPr>
                <w:rFonts w:ascii="Calibri" w:cs="Calibri" w:eastAsia="Calibri" w:hAnsi="Calibri"/>
                <w:sz w:val="20"/>
                <w:szCs w:val="20"/>
                <w:rtl w:val="0"/>
              </w:rPr>
              <w:t xml:space="preserve"> agilidad en los trámites, reducción de costes y seguridad en el control de las personas que acceden a las aplicaciones y a los sistemas.</w:t>
            </w:r>
          </w:p>
          <w:p w:rsidR="00000000" w:rsidDel="00000000" w:rsidP="00000000" w:rsidRDefault="00000000" w:rsidRPr="00000000" w14:paraId="00000096">
            <w:pPr>
              <w:numPr>
                <w:ilvl w:val="0"/>
                <w:numId w:val="6"/>
              </w:numPr>
              <w:ind w:left="425.1968503937013" w:hanging="36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Multiplataforma: </w:t>
            </w:r>
            <w:r w:rsidDel="00000000" w:rsidR="00000000" w:rsidRPr="00000000">
              <w:rPr>
                <w:rFonts w:ascii="Calibri" w:cs="Calibri" w:eastAsia="Calibri" w:hAnsi="Calibri"/>
                <w:sz w:val="20"/>
                <w:szCs w:val="20"/>
                <w:rtl w:val="0"/>
              </w:rPr>
              <w:t xml:space="preserve">puede ejecutarse desde un PC hasta una supercomputadora.</w:t>
            </w:r>
          </w:p>
          <w:p w:rsidR="00000000" w:rsidDel="00000000" w:rsidP="00000000" w:rsidRDefault="00000000" w:rsidRPr="00000000" w14:paraId="00000097">
            <w:pPr>
              <w:numPr>
                <w:ilvl w:val="0"/>
                <w:numId w:val="6"/>
              </w:numPr>
              <w:ind w:left="425.1968503937013"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Permite el uso de </w:t>
            </w:r>
            <w:r w:rsidDel="00000000" w:rsidR="00000000" w:rsidRPr="00000000">
              <w:rPr>
                <w:rFonts w:ascii="Calibri" w:cs="Calibri" w:eastAsia="Calibri" w:hAnsi="Calibri"/>
                <w:b w:val="1"/>
                <w:sz w:val="20"/>
                <w:szCs w:val="20"/>
                <w:rtl w:val="0"/>
              </w:rPr>
              <w:t xml:space="preserve">particiones </w:t>
            </w:r>
            <w:r w:rsidDel="00000000" w:rsidR="00000000" w:rsidRPr="00000000">
              <w:rPr>
                <w:rFonts w:ascii="Calibri" w:cs="Calibri" w:eastAsia="Calibri" w:hAnsi="Calibri"/>
                <w:sz w:val="20"/>
                <w:szCs w:val="20"/>
                <w:rtl w:val="0"/>
              </w:rPr>
              <w:t xml:space="preserve">para hacer consultas, informes, análisis de datos, etc.</w:t>
            </w:r>
          </w:p>
          <w:p w:rsidR="00000000" w:rsidDel="00000000" w:rsidP="00000000" w:rsidRDefault="00000000" w:rsidRPr="00000000" w14:paraId="00000098">
            <w:pPr>
              <w:numPr>
                <w:ilvl w:val="0"/>
                <w:numId w:val="6"/>
              </w:numPr>
              <w:ind w:left="425.1968503937013" w:hanging="36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Soporta todas las funciones </w:t>
            </w:r>
            <w:r w:rsidDel="00000000" w:rsidR="00000000" w:rsidRPr="00000000">
              <w:rPr>
                <w:rFonts w:ascii="Calibri" w:cs="Calibri" w:eastAsia="Calibri" w:hAnsi="Calibri"/>
                <w:sz w:val="20"/>
                <w:szCs w:val="20"/>
                <w:rtl w:val="0"/>
              </w:rPr>
              <w:t xml:space="preserve">que se esperan de un buen servidor.</w:t>
            </w:r>
          </w:p>
          <w:p w:rsidR="00000000" w:rsidDel="00000000" w:rsidP="00000000" w:rsidRDefault="00000000" w:rsidRPr="00000000" w14:paraId="00000099">
            <w:pPr>
              <w:numPr>
                <w:ilvl w:val="0"/>
                <w:numId w:val="6"/>
              </w:numPr>
              <w:ind w:left="425.1968503937013"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Software del servidor que puede ejecutarse en </w:t>
            </w:r>
            <w:r w:rsidDel="00000000" w:rsidR="00000000" w:rsidRPr="00000000">
              <w:rPr>
                <w:rFonts w:ascii="Calibri" w:cs="Calibri" w:eastAsia="Calibri" w:hAnsi="Calibri"/>
                <w:b w:val="1"/>
                <w:sz w:val="20"/>
                <w:szCs w:val="20"/>
                <w:rtl w:val="0"/>
              </w:rPr>
              <w:t xml:space="preserve">multitud de sistemas operativos:</w:t>
            </w:r>
            <w:r w:rsidDel="00000000" w:rsidR="00000000" w:rsidRPr="00000000">
              <w:rPr>
                <w:rFonts w:ascii="Calibri" w:cs="Calibri" w:eastAsia="Calibri" w:hAnsi="Calibri"/>
                <w:sz w:val="20"/>
                <w:szCs w:val="20"/>
                <w:rtl w:val="0"/>
              </w:rPr>
              <w:t xml:space="preserve"> Linux, Mac, Windows, etc.</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sz w:val="20"/>
                <w:szCs w:val="20"/>
                <w:rtl w:val="0"/>
              </w:rPr>
              <w:t xml:space="preserve">Comercial</w:t>
            </w:r>
            <w:r w:rsidDel="00000000" w:rsidR="00000000" w:rsidRPr="00000000">
              <w:rPr>
                <w:rtl w:val="0"/>
              </w:rPr>
            </w:r>
          </w:p>
        </w:tc>
        <w:tc>
          <w:tcPr>
            <w:vAlign w:val="center"/>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sz w:val="20"/>
                <w:szCs w:val="20"/>
              </w:rPr>
              <w:drawing>
                <wp:inline distB="114300" distT="114300" distL="114300" distR="114300">
                  <wp:extent cx="1485900" cy="838200"/>
                  <wp:effectExtent b="0" l="0" r="0" t="0"/>
                  <wp:docPr id="1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1485900" cy="8382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sz w:val="20"/>
                <w:szCs w:val="20"/>
                <w:rtl w:val="0"/>
              </w:rPr>
              <w:t xml:space="preserve">MySQL</w:t>
            </w:r>
            <w:r w:rsidDel="00000000" w:rsidR="00000000" w:rsidRPr="00000000">
              <w:rPr>
                <w:rtl w:val="0"/>
              </w:rPr>
            </w:r>
          </w:p>
        </w:tc>
        <w:tc>
          <w:tcPr>
            <w:vAlign w:val="center"/>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sz w:val="20"/>
                <w:szCs w:val="20"/>
                <w:rtl w:val="0"/>
              </w:rPr>
              <w:t xml:space="preserve">Relacional</w:t>
            </w:r>
            <w:r w:rsidDel="00000000" w:rsidR="00000000" w:rsidRPr="00000000">
              <w:rPr>
                <w:rtl w:val="0"/>
              </w:rPr>
            </w:r>
          </w:p>
        </w:tc>
        <w:tc>
          <w:tcPr>
            <w:vAlign w:val="center"/>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0"/>
                <w:szCs w:val="20"/>
              </w:rPr>
            </w:pPr>
            <w:hyperlink r:id="rId14">
              <w:r w:rsidDel="00000000" w:rsidR="00000000" w:rsidRPr="00000000">
                <w:rPr>
                  <w:rFonts w:ascii="Calibri" w:cs="Calibri" w:eastAsia="Calibri" w:hAnsi="Calibri"/>
                  <w:b w:val="1"/>
                  <w:color w:val="1155cc"/>
                  <w:sz w:val="20"/>
                  <w:szCs w:val="20"/>
                  <w:u w:val="single"/>
                  <w:rtl w:val="0"/>
                </w:rPr>
                <w:t xml:space="preserve">MySQL</w:t>
              </w:r>
            </w:hyperlink>
            <w:r w:rsidDel="00000000" w:rsidR="00000000" w:rsidRPr="00000000">
              <w:rPr>
                <w:rtl w:val="0"/>
              </w:rPr>
            </w:r>
          </w:p>
        </w:tc>
        <w:tc>
          <w:tcPr/>
          <w:p w:rsidR="00000000" w:rsidDel="00000000" w:rsidP="00000000" w:rsidRDefault="00000000" w:rsidRPr="00000000" w14:paraId="000000A2">
            <w:pPr>
              <w:numPr>
                <w:ilvl w:val="0"/>
                <w:numId w:val="6"/>
              </w:numPr>
              <w:ind w:left="425.1968503937013" w:hanging="36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Arquitectura Cliente y Servidor</w:t>
            </w:r>
          </w:p>
          <w:p w:rsidR="00000000" w:rsidDel="00000000" w:rsidP="00000000" w:rsidRDefault="00000000" w:rsidRPr="00000000" w14:paraId="000000A3">
            <w:pPr>
              <w:numPr>
                <w:ilvl w:val="0"/>
                <w:numId w:val="6"/>
              </w:numPr>
              <w:ind w:left="425.1968503937013" w:hanging="360"/>
              <w:rPr>
                <w:rFonts w:ascii="Calibri" w:cs="Calibri" w:eastAsia="Calibri" w:hAnsi="Calibri"/>
                <w:b w:val="1"/>
                <w:sz w:val="20"/>
                <w:szCs w:val="20"/>
                <w:u w:val="none"/>
              </w:rPr>
            </w:pPr>
            <w:r w:rsidDel="00000000" w:rsidR="00000000" w:rsidRPr="00000000">
              <w:rPr>
                <w:rFonts w:ascii="Calibri" w:cs="Calibri" w:eastAsia="Calibri" w:hAnsi="Calibri"/>
                <w:b w:val="1"/>
                <w:sz w:val="20"/>
                <w:szCs w:val="20"/>
                <w:rtl w:val="0"/>
              </w:rPr>
              <w:t xml:space="preserve">Compatibilidad con SQL</w:t>
            </w:r>
          </w:p>
          <w:p w:rsidR="00000000" w:rsidDel="00000000" w:rsidP="00000000" w:rsidRDefault="00000000" w:rsidRPr="00000000" w14:paraId="000000A4">
            <w:pPr>
              <w:numPr>
                <w:ilvl w:val="0"/>
                <w:numId w:val="6"/>
              </w:numPr>
              <w:ind w:left="425.1968503937013" w:hanging="360"/>
              <w:rPr>
                <w:rFonts w:ascii="Calibri" w:cs="Calibri" w:eastAsia="Calibri" w:hAnsi="Calibri"/>
                <w:b w:val="1"/>
                <w:sz w:val="20"/>
                <w:szCs w:val="20"/>
                <w:u w:val="none"/>
              </w:rPr>
            </w:pPr>
            <w:r w:rsidDel="00000000" w:rsidR="00000000" w:rsidRPr="00000000">
              <w:rPr>
                <w:rFonts w:ascii="Calibri" w:cs="Calibri" w:eastAsia="Calibri" w:hAnsi="Calibri"/>
                <w:b w:val="1"/>
                <w:sz w:val="20"/>
                <w:szCs w:val="20"/>
                <w:rtl w:val="0"/>
              </w:rPr>
              <w:t xml:space="preserve">Vistas</w:t>
            </w:r>
          </w:p>
          <w:p w:rsidR="00000000" w:rsidDel="00000000" w:rsidP="00000000" w:rsidRDefault="00000000" w:rsidRPr="00000000" w14:paraId="000000A5">
            <w:pPr>
              <w:numPr>
                <w:ilvl w:val="0"/>
                <w:numId w:val="6"/>
              </w:numPr>
              <w:ind w:left="425.1968503937013" w:hanging="360"/>
              <w:rPr>
                <w:rFonts w:ascii="Calibri" w:cs="Calibri" w:eastAsia="Calibri" w:hAnsi="Calibri"/>
                <w:b w:val="1"/>
                <w:sz w:val="20"/>
                <w:szCs w:val="20"/>
                <w:u w:val="none"/>
              </w:rPr>
            </w:pPr>
            <w:r w:rsidDel="00000000" w:rsidR="00000000" w:rsidRPr="00000000">
              <w:rPr>
                <w:rFonts w:ascii="Calibri" w:cs="Calibri" w:eastAsia="Calibri" w:hAnsi="Calibri"/>
                <w:b w:val="1"/>
                <w:sz w:val="20"/>
                <w:szCs w:val="20"/>
                <w:rtl w:val="0"/>
              </w:rPr>
              <w:t xml:space="preserve">Procedimientos almacenados:</w:t>
            </w:r>
            <w:r w:rsidDel="00000000" w:rsidR="00000000" w:rsidRPr="00000000">
              <w:rPr>
                <w:rFonts w:ascii="Calibri" w:cs="Calibri" w:eastAsia="Calibri" w:hAnsi="Calibri"/>
                <w:sz w:val="20"/>
                <w:szCs w:val="20"/>
                <w:rtl w:val="0"/>
              </w:rPr>
              <w:t xml:space="preserve">posee la característica d eno procesar las tablas directamente sino que a través de procedimientos almacenados es posible incrementar la eficacia de nuestra implementación.</w:t>
            </w:r>
          </w:p>
          <w:p w:rsidR="00000000" w:rsidDel="00000000" w:rsidP="00000000" w:rsidRDefault="00000000" w:rsidRPr="00000000" w14:paraId="000000A6">
            <w:pPr>
              <w:numPr>
                <w:ilvl w:val="0"/>
                <w:numId w:val="6"/>
              </w:numPr>
              <w:ind w:left="425.1968503937013" w:hanging="36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Desencadenantes: p</w:t>
            </w:r>
            <w:r w:rsidDel="00000000" w:rsidR="00000000" w:rsidRPr="00000000">
              <w:rPr>
                <w:rFonts w:ascii="Calibri" w:cs="Calibri" w:eastAsia="Calibri" w:hAnsi="Calibri"/>
                <w:sz w:val="20"/>
                <w:szCs w:val="20"/>
                <w:rtl w:val="0"/>
              </w:rPr>
              <w:t xml:space="preserve">ermite además poder automatizar ciertas tareas dentro de nuestra base de datos. En el momento que se produce un evento otro es lanzado para actualizar registros o optimizar su funcionalidad.</w:t>
            </w:r>
          </w:p>
          <w:p w:rsidR="00000000" w:rsidDel="00000000" w:rsidP="00000000" w:rsidRDefault="00000000" w:rsidRPr="00000000" w14:paraId="000000A7">
            <w:pPr>
              <w:numPr>
                <w:ilvl w:val="0"/>
                <w:numId w:val="6"/>
              </w:numPr>
              <w:ind w:left="425.1968503937013" w:hanging="36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Transacciones</w:t>
            </w:r>
          </w:p>
          <w:p w:rsidR="00000000" w:rsidDel="00000000" w:rsidP="00000000" w:rsidRDefault="00000000" w:rsidRPr="00000000" w14:paraId="000000A8">
            <w:pPr>
              <w:rPr>
                <w:rFonts w:ascii="Calibri" w:cs="Calibri" w:eastAsia="Calibri" w:hAnsi="Calibri"/>
                <w:b w:val="1"/>
                <w:sz w:val="16"/>
                <w:szCs w:val="16"/>
              </w:rPr>
            </w:pPr>
            <w:r w:rsidDel="00000000" w:rsidR="00000000" w:rsidRPr="00000000">
              <w:rPr>
                <w:rFonts w:ascii="Calibri" w:cs="Calibri" w:eastAsia="Calibri" w:hAnsi="Calibri"/>
                <w:sz w:val="20"/>
                <w:szCs w:val="20"/>
                <w:rtl w:val="0"/>
              </w:rPr>
              <w:t xml:space="preserve">E</w:t>
            </w:r>
            <w:r w:rsidDel="00000000" w:rsidR="00000000" w:rsidRPr="00000000">
              <w:rPr>
                <w:rFonts w:ascii="Calibri" w:cs="Calibri" w:eastAsia="Calibri" w:hAnsi="Calibri"/>
                <w:sz w:val="20"/>
                <w:szCs w:val="20"/>
                <w:rtl w:val="0"/>
              </w:rPr>
              <w:t xml:space="preserve">s una opción razonable para ser usado en el ámbito empresarial. Al estar basado en código abierto permite a pequeñas empresas y desarrolladores disponer de una solución fiable y estandarizada para sus aplicaciones. Por ejemplo, si se cuenta con un listado de clientes, una tienda online con un catálogo de productos o incluso una gran selección de contenidos multimedia disponible, MySQL ayuda a gestionarlo todo debida y ordenadamente.</w:t>
            </w:r>
            <w:r w:rsidDel="00000000" w:rsidR="00000000" w:rsidRPr="00000000">
              <w:rPr>
                <w:rtl w:val="0"/>
              </w:rPr>
            </w:r>
          </w:p>
        </w:tc>
        <w:tc>
          <w:tcPr>
            <w:vAlign w:val="center"/>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sz w:val="20"/>
                <w:szCs w:val="20"/>
                <w:rtl w:val="0"/>
              </w:rPr>
              <w:t xml:space="preserve">Por una parte codigo abierta y cuenta con una versión comercial</w:t>
            </w:r>
            <w:r w:rsidDel="00000000" w:rsidR="00000000" w:rsidRPr="00000000">
              <w:rPr>
                <w:rtl w:val="0"/>
              </w:rPr>
            </w:r>
          </w:p>
        </w:tc>
        <w:tc>
          <w:tcPr>
            <w:vAlign w:val="center"/>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sz w:val="20"/>
                <w:szCs w:val="20"/>
              </w:rPr>
              <w:drawing>
                <wp:inline distB="114300" distT="114300" distL="114300" distR="114300">
                  <wp:extent cx="1485900" cy="774700"/>
                  <wp:effectExtent b="0" l="0" r="0" t="0"/>
                  <wp:docPr id="1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485900" cy="7747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sz w:val="20"/>
                <w:szCs w:val="20"/>
                <w:rtl w:val="0"/>
              </w:rPr>
              <w:t xml:space="preserve">Microsoft SQL Server</w:t>
            </w:r>
            <w:r w:rsidDel="00000000" w:rsidR="00000000" w:rsidRPr="00000000">
              <w:rPr>
                <w:rtl w:val="0"/>
              </w:rPr>
            </w:r>
          </w:p>
        </w:tc>
        <w:tc>
          <w:tcPr>
            <w:vAlign w:val="center"/>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sz w:val="20"/>
                <w:szCs w:val="20"/>
                <w:rtl w:val="0"/>
              </w:rPr>
              <w:t xml:space="preserve">Relacional</w:t>
            </w:r>
            <w:r w:rsidDel="00000000" w:rsidR="00000000" w:rsidRPr="00000000">
              <w:rPr>
                <w:rtl w:val="0"/>
              </w:rPr>
            </w:r>
          </w:p>
        </w:tc>
        <w:tc>
          <w:tcPr>
            <w:vAlign w:val="center"/>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0"/>
                <w:szCs w:val="20"/>
              </w:rPr>
            </w:pPr>
            <w:hyperlink r:id="rId16">
              <w:r w:rsidDel="00000000" w:rsidR="00000000" w:rsidRPr="00000000">
                <w:rPr>
                  <w:rFonts w:ascii="Calibri" w:cs="Calibri" w:eastAsia="Calibri" w:hAnsi="Calibri"/>
                  <w:b w:val="1"/>
                  <w:color w:val="1155cc"/>
                  <w:sz w:val="20"/>
                  <w:szCs w:val="20"/>
                  <w:u w:val="single"/>
                  <w:rtl w:val="0"/>
                </w:rPr>
                <w:t xml:space="preserve">Descargas de SQL Server | Microsoft</w:t>
              </w:r>
            </w:hyperlink>
            <w:r w:rsidDel="00000000" w:rsidR="00000000" w:rsidRPr="00000000">
              <w:rPr>
                <w:rtl w:val="0"/>
              </w:rPr>
            </w:r>
          </w:p>
        </w:tc>
        <w:tc>
          <w:tcPr>
            <w:vAlign w:val="center"/>
          </w:tcPr>
          <w:p w:rsidR="00000000" w:rsidDel="00000000" w:rsidP="00000000" w:rsidRDefault="00000000" w:rsidRPr="00000000" w14:paraId="000000B0">
            <w:pPr>
              <w:ind w:left="0" w:firstLine="0"/>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B1">
            <w:pPr>
              <w:numPr>
                <w:ilvl w:val="0"/>
                <w:numId w:val="6"/>
              </w:numPr>
              <w:ind w:left="425.1968503937013" w:hanging="36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Soporte de transacciones.</w:t>
            </w:r>
          </w:p>
          <w:p w:rsidR="00000000" w:rsidDel="00000000" w:rsidP="00000000" w:rsidRDefault="00000000" w:rsidRPr="00000000" w14:paraId="000000B2">
            <w:pPr>
              <w:numPr>
                <w:ilvl w:val="0"/>
                <w:numId w:val="6"/>
              </w:numPr>
              <w:ind w:left="425.1968503937013"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Escalabilidad, estabilidad y seguridad.</w:t>
            </w:r>
          </w:p>
          <w:p w:rsidR="00000000" w:rsidDel="00000000" w:rsidP="00000000" w:rsidRDefault="00000000" w:rsidRPr="00000000" w14:paraId="000000B3">
            <w:pPr>
              <w:numPr>
                <w:ilvl w:val="0"/>
                <w:numId w:val="6"/>
              </w:numPr>
              <w:ind w:left="425.1968503937013"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Soporte de procedimientos almacenados.</w:t>
            </w:r>
          </w:p>
          <w:p w:rsidR="00000000" w:rsidDel="00000000" w:rsidP="00000000" w:rsidRDefault="00000000" w:rsidRPr="00000000" w14:paraId="000000B4">
            <w:pPr>
              <w:numPr>
                <w:ilvl w:val="0"/>
                <w:numId w:val="6"/>
              </w:numPr>
              <w:ind w:left="425.1968503937013" w:hanging="36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Incluye también un potente entorno gráfico de administración, que permite el uso de comandos DDL y DML gráficamente.</w:t>
            </w:r>
          </w:p>
          <w:p w:rsidR="00000000" w:rsidDel="00000000" w:rsidP="00000000" w:rsidRDefault="00000000" w:rsidRPr="00000000" w14:paraId="000000B5">
            <w:pPr>
              <w:numPr>
                <w:ilvl w:val="0"/>
                <w:numId w:val="6"/>
              </w:numPr>
              <w:ind w:left="425.1968503937013"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Permite trabajar en modo </w:t>
            </w:r>
            <w:r w:rsidDel="00000000" w:rsidR="00000000" w:rsidRPr="00000000">
              <w:rPr>
                <w:rFonts w:ascii="Calibri" w:cs="Calibri" w:eastAsia="Calibri" w:hAnsi="Calibri"/>
                <w:b w:val="1"/>
                <w:sz w:val="20"/>
                <w:szCs w:val="20"/>
                <w:rtl w:val="0"/>
              </w:rPr>
              <w:t xml:space="preserve">cliente-servidor</w:t>
            </w:r>
            <w:r w:rsidDel="00000000" w:rsidR="00000000" w:rsidRPr="00000000">
              <w:rPr>
                <w:rFonts w:ascii="Calibri" w:cs="Calibri" w:eastAsia="Calibri" w:hAnsi="Calibri"/>
                <w:sz w:val="20"/>
                <w:szCs w:val="20"/>
                <w:rtl w:val="0"/>
              </w:rPr>
              <w:t xml:space="preserve">, donde la información y datos se alojan en el servidor y las terminales o clientes de la red sólo acceden a la información.</w:t>
            </w:r>
          </w:p>
          <w:p w:rsidR="00000000" w:rsidDel="00000000" w:rsidP="00000000" w:rsidRDefault="00000000" w:rsidRPr="00000000" w14:paraId="000000B6">
            <w:pPr>
              <w:numPr>
                <w:ilvl w:val="0"/>
                <w:numId w:val="6"/>
              </w:numPr>
              <w:ind w:left="425.1968503937013" w:hanging="36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Permite administrar información de otros servidores de datos.</w:t>
            </w:r>
          </w:p>
        </w:tc>
        <w:tc>
          <w:tcPr>
            <w:vAlign w:val="center"/>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sz w:val="20"/>
                <w:szCs w:val="20"/>
                <w:rtl w:val="0"/>
              </w:rPr>
              <w:t xml:space="preserve">Comercial</w:t>
            </w:r>
            <w:r w:rsidDel="00000000" w:rsidR="00000000" w:rsidRPr="00000000">
              <w:rPr>
                <w:rtl w:val="0"/>
              </w:rPr>
            </w:r>
          </w:p>
        </w:tc>
        <w:tc>
          <w:tcPr>
            <w:vAlign w:val="center"/>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sz w:val="20"/>
                <w:szCs w:val="20"/>
              </w:rPr>
              <w:drawing>
                <wp:inline distB="114300" distT="114300" distL="114300" distR="114300">
                  <wp:extent cx="1485900" cy="990600"/>
                  <wp:effectExtent b="0" l="0" r="0" t="0"/>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1485900" cy="9906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sz w:val="20"/>
                <w:szCs w:val="20"/>
                <w:rtl w:val="0"/>
              </w:rPr>
              <w:t xml:space="preserve">PostgreSQL</w:t>
            </w:r>
            <w:r w:rsidDel="00000000" w:rsidR="00000000" w:rsidRPr="00000000">
              <w:rPr>
                <w:rtl w:val="0"/>
              </w:rPr>
            </w:r>
          </w:p>
        </w:tc>
        <w:tc>
          <w:tcPr>
            <w:vAlign w:val="center"/>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sz w:val="20"/>
                <w:szCs w:val="20"/>
                <w:rtl w:val="0"/>
              </w:rPr>
              <w:t xml:space="preserve">Relacional</w:t>
            </w:r>
            <w:r w:rsidDel="00000000" w:rsidR="00000000" w:rsidRPr="00000000">
              <w:rPr>
                <w:rtl w:val="0"/>
              </w:rPr>
            </w:r>
          </w:p>
        </w:tc>
        <w:tc>
          <w:tcPr>
            <w:vAlign w:val="center"/>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0"/>
                <w:szCs w:val="20"/>
              </w:rPr>
            </w:pPr>
            <w:hyperlink r:id="rId18">
              <w:r w:rsidDel="00000000" w:rsidR="00000000" w:rsidRPr="00000000">
                <w:rPr>
                  <w:rFonts w:ascii="Calibri" w:cs="Calibri" w:eastAsia="Calibri" w:hAnsi="Calibri"/>
                  <w:b w:val="1"/>
                  <w:color w:val="1155cc"/>
                  <w:sz w:val="20"/>
                  <w:szCs w:val="20"/>
                  <w:u w:val="single"/>
                  <w:rtl w:val="0"/>
                </w:rPr>
                <w:t xml:space="preserve">PostgreSQL</w:t>
              </w:r>
            </w:hyperlink>
            <w:r w:rsidDel="00000000" w:rsidR="00000000" w:rsidRPr="00000000">
              <w:rPr>
                <w:rtl w:val="0"/>
              </w:rPr>
            </w:r>
          </w:p>
        </w:tc>
        <w:tc>
          <w:tcPr>
            <w:vAlign w:val="center"/>
          </w:tcPr>
          <w:p w:rsidR="00000000" w:rsidDel="00000000" w:rsidP="00000000" w:rsidRDefault="00000000" w:rsidRPr="00000000" w14:paraId="000000BD">
            <w:pPr>
              <w:ind w:left="425.1968503937013" w:firstLine="0"/>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BE">
            <w:pPr>
              <w:ind w:left="425.1968503937013" w:firstLine="0"/>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BF">
            <w:pPr>
              <w:ind w:left="0" w:firstLine="0"/>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C0">
            <w:pPr>
              <w:ind w:left="0" w:firstLine="0"/>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C1">
            <w:pPr>
              <w:numPr>
                <w:ilvl w:val="0"/>
                <w:numId w:val="6"/>
              </w:numPr>
              <w:ind w:left="425.1968503937013" w:hanging="36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Alta concurrencia.</w:t>
            </w: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0C2">
            <w:pPr>
              <w:numPr>
                <w:ilvl w:val="0"/>
                <w:numId w:val="6"/>
              </w:numPr>
              <w:ind w:left="425.1968503937013" w:hanging="36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Soporte para múltiples tipos de datos de manera nativa.</w:t>
            </w:r>
          </w:p>
          <w:p w:rsidR="00000000" w:rsidDel="00000000" w:rsidP="00000000" w:rsidRDefault="00000000" w:rsidRPr="00000000" w14:paraId="000000C3">
            <w:pPr>
              <w:numPr>
                <w:ilvl w:val="0"/>
                <w:numId w:val="6"/>
              </w:numPr>
              <w:ind w:left="425.1968503937013" w:hanging="36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Soporte a triggers</w:t>
            </w:r>
          </w:p>
          <w:p w:rsidR="00000000" w:rsidDel="00000000" w:rsidP="00000000" w:rsidRDefault="00000000" w:rsidRPr="00000000" w14:paraId="000000C4">
            <w:pPr>
              <w:numPr>
                <w:ilvl w:val="0"/>
                <w:numId w:val="6"/>
              </w:numPr>
              <w:ind w:left="425.1968503937013" w:hanging="36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Trabajo con vistas.</w:t>
            </w:r>
            <w:r w:rsidDel="00000000" w:rsidR="00000000" w:rsidRPr="00000000">
              <w:rPr>
                <w:rtl w:val="0"/>
              </w:rPr>
            </w:r>
          </w:p>
          <w:p w:rsidR="00000000" w:rsidDel="00000000" w:rsidP="00000000" w:rsidRDefault="00000000" w:rsidRPr="00000000" w14:paraId="000000C5">
            <w:pPr>
              <w:numPr>
                <w:ilvl w:val="0"/>
                <w:numId w:val="6"/>
              </w:numPr>
              <w:ind w:left="425.1968503937013" w:hanging="36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Soporte para bases de datos distribuidas.</w:t>
            </w:r>
            <w:r w:rsidDel="00000000" w:rsidR="00000000" w:rsidRPr="00000000">
              <w:rPr>
                <w:rtl w:val="0"/>
              </w:rPr>
            </w:r>
          </w:p>
          <w:p w:rsidR="00000000" w:rsidDel="00000000" w:rsidP="00000000" w:rsidRDefault="00000000" w:rsidRPr="00000000" w14:paraId="000000C6">
            <w:pPr>
              <w:numPr>
                <w:ilvl w:val="0"/>
                <w:numId w:val="6"/>
              </w:numPr>
              <w:ind w:left="425.1968503937013" w:hanging="36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Soporte para gran cantidad de lenguajes.</w:t>
            </w:r>
          </w:p>
          <w:p w:rsidR="00000000" w:rsidDel="00000000" w:rsidP="00000000" w:rsidRDefault="00000000" w:rsidRPr="00000000" w14:paraId="000000C7">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C8">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C9">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CA">
            <w:pPr>
              <w:rPr>
                <w:rFonts w:ascii="Calibri" w:cs="Calibri" w:eastAsia="Calibri" w:hAnsi="Calibri"/>
                <w:b w:val="1"/>
                <w:sz w:val="20"/>
                <w:szCs w:val="20"/>
              </w:rPr>
            </w:pPr>
            <w:r w:rsidDel="00000000" w:rsidR="00000000" w:rsidRPr="00000000">
              <w:rPr>
                <w:rtl w:val="0"/>
              </w:rPr>
            </w:r>
          </w:p>
        </w:tc>
        <w:tc>
          <w:tcPr>
            <w:vAlign w:val="center"/>
          </w:tcPr>
          <w:p w:rsidR="00000000" w:rsidDel="00000000" w:rsidP="00000000" w:rsidRDefault="00000000" w:rsidRPr="00000000" w14:paraId="000000CB">
            <w:pPr>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sz w:val="20"/>
                <w:szCs w:val="20"/>
                <w:rtl w:val="0"/>
              </w:rPr>
              <w:t xml:space="preserve">Libre</w:t>
            </w:r>
            <w:r w:rsidDel="00000000" w:rsidR="00000000" w:rsidRPr="00000000">
              <w:rPr>
                <w:rtl w:val="0"/>
              </w:rPr>
            </w:r>
          </w:p>
        </w:tc>
        <w:tc>
          <w:tcPr>
            <w:vAlign w:val="center"/>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sz w:val="20"/>
                <w:szCs w:val="20"/>
              </w:rPr>
              <w:drawing>
                <wp:inline distB="114300" distT="114300" distL="114300" distR="114300">
                  <wp:extent cx="1485900" cy="838200"/>
                  <wp:effectExtent b="0" l="0" r="0" t="0"/>
                  <wp:docPr id="1"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1485900" cy="8382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sz w:val="20"/>
                <w:szCs w:val="20"/>
                <w:rtl w:val="0"/>
              </w:rPr>
              <w:t xml:space="preserve">MongoDB</w:t>
            </w:r>
            <w:r w:rsidDel="00000000" w:rsidR="00000000" w:rsidRPr="00000000">
              <w:rPr>
                <w:rtl w:val="0"/>
              </w:rPr>
            </w:r>
          </w:p>
        </w:tc>
        <w:tc>
          <w:tcPr>
            <w:vAlign w:val="center"/>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sz w:val="20"/>
                <w:szCs w:val="20"/>
                <w:rtl w:val="0"/>
              </w:rPr>
              <w:t xml:space="preserve">NoSQL</w:t>
            </w:r>
            <w:r w:rsidDel="00000000" w:rsidR="00000000" w:rsidRPr="00000000">
              <w:rPr>
                <w:rtl w:val="0"/>
              </w:rPr>
            </w:r>
          </w:p>
        </w:tc>
        <w:tc>
          <w:tcPr>
            <w:vAlign w:val="center"/>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0"/>
                <w:szCs w:val="20"/>
              </w:rPr>
            </w:pPr>
            <w:hyperlink r:id="rId20">
              <w:r w:rsidDel="00000000" w:rsidR="00000000" w:rsidRPr="00000000">
                <w:rPr>
                  <w:rFonts w:ascii="Calibri" w:cs="Calibri" w:eastAsia="Calibri" w:hAnsi="Calibri"/>
                  <w:b w:val="1"/>
                  <w:color w:val="1155cc"/>
                  <w:sz w:val="20"/>
                  <w:szCs w:val="20"/>
                  <w:u w:val="single"/>
                  <w:rtl w:val="0"/>
                </w:rPr>
                <w:t xml:space="preserve">MongoDB</w:t>
              </w:r>
            </w:hyperlink>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0"/>
                <w:szCs w:val="20"/>
              </w:rPr>
            </w:pPr>
            <w:r w:rsidDel="00000000" w:rsidR="00000000" w:rsidRPr="00000000">
              <w:rPr>
                <w:rtl w:val="0"/>
              </w:rPr>
            </w:r>
          </w:p>
        </w:tc>
        <w:tc>
          <w:tcPr>
            <w:vAlign w:val="center"/>
          </w:tcPr>
          <w:p w:rsidR="00000000" w:rsidDel="00000000" w:rsidP="00000000" w:rsidRDefault="00000000" w:rsidRPr="00000000" w14:paraId="000000D2">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D3">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D4">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D5">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D6">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D7">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Base de datos orientada a documentos. Esto quiere decir que en lugar de guardar los datos en registros, guarda los datos en documentos. Estos documentos son almacenados en BSON, que es una representación binaria de JSON.</w:t>
            </w:r>
          </w:p>
          <w:p w:rsidR="00000000" w:rsidDel="00000000" w:rsidP="00000000" w:rsidRDefault="00000000" w:rsidRPr="00000000" w14:paraId="000000D8">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Esto representa una de las diferencias más importantes con respecto a las bases de datos relacionales. Y resulta que no es que no es necesario seguir un esquema. Los documentos de una misma colección - concepto similar a una tabla de una base de datos relacional -, pueden tener esquemas diferentes.</w:t>
            </w:r>
          </w:p>
          <w:p w:rsidR="00000000" w:rsidDel="00000000" w:rsidP="00000000" w:rsidRDefault="00000000" w:rsidRPr="00000000" w14:paraId="000000D9">
            <w:pPr>
              <w:ind w:left="0" w:firstLine="0"/>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DA">
            <w:pPr>
              <w:numPr>
                <w:ilvl w:val="0"/>
                <w:numId w:val="6"/>
              </w:numPr>
              <w:ind w:left="425.1968503937013" w:hanging="36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Consultas ad hoc.</w:t>
            </w:r>
          </w:p>
          <w:p w:rsidR="00000000" w:rsidDel="00000000" w:rsidP="00000000" w:rsidRDefault="00000000" w:rsidRPr="00000000" w14:paraId="000000DB">
            <w:pPr>
              <w:numPr>
                <w:ilvl w:val="0"/>
                <w:numId w:val="6"/>
              </w:numPr>
              <w:ind w:left="425.1968503937013" w:hanging="360"/>
              <w:rPr>
                <w:rFonts w:ascii="Calibri" w:cs="Calibri" w:eastAsia="Calibri" w:hAnsi="Calibri"/>
                <w:b w:val="1"/>
                <w:sz w:val="20"/>
                <w:szCs w:val="20"/>
                <w:u w:val="none"/>
              </w:rPr>
            </w:pPr>
            <w:r w:rsidDel="00000000" w:rsidR="00000000" w:rsidRPr="00000000">
              <w:rPr>
                <w:rFonts w:ascii="Calibri" w:cs="Calibri" w:eastAsia="Calibri" w:hAnsi="Calibri"/>
                <w:b w:val="1"/>
                <w:sz w:val="20"/>
                <w:szCs w:val="20"/>
                <w:rtl w:val="0"/>
              </w:rPr>
              <w:t xml:space="preserve">Indexación.</w:t>
            </w:r>
          </w:p>
          <w:p w:rsidR="00000000" w:rsidDel="00000000" w:rsidP="00000000" w:rsidRDefault="00000000" w:rsidRPr="00000000" w14:paraId="000000DC">
            <w:pPr>
              <w:numPr>
                <w:ilvl w:val="0"/>
                <w:numId w:val="6"/>
              </w:numPr>
              <w:ind w:left="425.1968503937013" w:hanging="360"/>
              <w:rPr>
                <w:rFonts w:ascii="Calibri" w:cs="Calibri" w:eastAsia="Calibri" w:hAnsi="Calibri"/>
                <w:b w:val="1"/>
                <w:sz w:val="20"/>
                <w:szCs w:val="20"/>
                <w:u w:val="none"/>
              </w:rPr>
            </w:pPr>
            <w:r w:rsidDel="00000000" w:rsidR="00000000" w:rsidRPr="00000000">
              <w:rPr>
                <w:rFonts w:ascii="Calibri" w:cs="Calibri" w:eastAsia="Calibri" w:hAnsi="Calibri"/>
                <w:b w:val="1"/>
                <w:sz w:val="20"/>
                <w:szCs w:val="20"/>
                <w:rtl w:val="0"/>
              </w:rPr>
              <w:t xml:space="preserve">Replicación.</w:t>
            </w:r>
          </w:p>
          <w:p w:rsidR="00000000" w:rsidDel="00000000" w:rsidP="00000000" w:rsidRDefault="00000000" w:rsidRPr="00000000" w14:paraId="000000DD">
            <w:pPr>
              <w:numPr>
                <w:ilvl w:val="0"/>
                <w:numId w:val="6"/>
              </w:numPr>
              <w:ind w:left="425.1968503937013" w:hanging="360"/>
              <w:rPr>
                <w:rFonts w:ascii="Calibri" w:cs="Calibri" w:eastAsia="Calibri" w:hAnsi="Calibri"/>
                <w:b w:val="1"/>
                <w:sz w:val="20"/>
                <w:szCs w:val="20"/>
                <w:u w:val="none"/>
              </w:rPr>
            </w:pPr>
            <w:r w:rsidDel="00000000" w:rsidR="00000000" w:rsidRPr="00000000">
              <w:rPr>
                <w:rFonts w:ascii="Calibri" w:cs="Calibri" w:eastAsia="Calibri" w:hAnsi="Calibri"/>
                <w:b w:val="1"/>
                <w:sz w:val="20"/>
                <w:szCs w:val="20"/>
                <w:rtl w:val="0"/>
              </w:rPr>
              <w:t xml:space="preserve">Balanceo de carga.</w:t>
            </w:r>
          </w:p>
          <w:p w:rsidR="00000000" w:rsidDel="00000000" w:rsidP="00000000" w:rsidRDefault="00000000" w:rsidRPr="00000000" w14:paraId="000000DE">
            <w:pPr>
              <w:numPr>
                <w:ilvl w:val="0"/>
                <w:numId w:val="6"/>
              </w:numPr>
              <w:ind w:left="425.1968503937013" w:hanging="360"/>
              <w:rPr>
                <w:rFonts w:ascii="Calibri" w:cs="Calibri" w:eastAsia="Calibri" w:hAnsi="Calibri"/>
                <w:b w:val="1"/>
                <w:sz w:val="20"/>
                <w:szCs w:val="20"/>
                <w:u w:val="none"/>
              </w:rPr>
            </w:pPr>
            <w:r w:rsidDel="00000000" w:rsidR="00000000" w:rsidRPr="00000000">
              <w:rPr>
                <w:rFonts w:ascii="Calibri" w:cs="Calibri" w:eastAsia="Calibri" w:hAnsi="Calibri"/>
                <w:b w:val="1"/>
                <w:sz w:val="20"/>
                <w:szCs w:val="20"/>
                <w:rtl w:val="0"/>
              </w:rPr>
              <w:t xml:space="preserve">Almacenamiento de archivos.</w:t>
            </w:r>
          </w:p>
          <w:p w:rsidR="00000000" w:rsidDel="00000000" w:rsidP="00000000" w:rsidRDefault="00000000" w:rsidRPr="00000000" w14:paraId="000000DF">
            <w:pPr>
              <w:numPr>
                <w:ilvl w:val="0"/>
                <w:numId w:val="6"/>
              </w:numPr>
              <w:ind w:left="425.1968503937013" w:hanging="360"/>
              <w:rPr>
                <w:rFonts w:ascii="Calibri" w:cs="Calibri" w:eastAsia="Calibri" w:hAnsi="Calibri"/>
                <w:b w:val="1"/>
                <w:sz w:val="20"/>
                <w:szCs w:val="20"/>
                <w:u w:val="none"/>
              </w:rPr>
            </w:pPr>
            <w:r w:rsidDel="00000000" w:rsidR="00000000" w:rsidRPr="00000000">
              <w:rPr>
                <w:rFonts w:ascii="Calibri" w:cs="Calibri" w:eastAsia="Calibri" w:hAnsi="Calibri"/>
                <w:b w:val="1"/>
                <w:sz w:val="20"/>
                <w:szCs w:val="20"/>
                <w:rtl w:val="0"/>
              </w:rPr>
              <w:t xml:space="preserve">Ejecución de JavaScript del lado del servidor</w:t>
            </w:r>
          </w:p>
          <w:p w:rsidR="00000000" w:rsidDel="00000000" w:rsidP="00000000" w:rsidRDefault="00000000" w:rsidRPr="00000000" w14:paraId="000000E0">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E1">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E2">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E3">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E4">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E5">
            <w:pPr>
              <w:rPr>
                <w:rFonts w:ascii="Calibri" w:cs="Calibri" w:eastAsia="Calibri" w:hAnsi="Calibri"/>
                <w:b w:val="1"/>
                <w:sz w:val="20"/>
                <w:szCs w:val="20"/>
              </w:rPr>
            </w:pPr>
            <w:r w:rsidDel="00000000" w:rsidR="00000000" w:rsidRPr="00000000">
              <w:rPr>
                <w:rtl w:val="0"/>
              </w:rPr>
            </w:r>
          </w:p>
        </w:tc>
        <w:tc>
          <w:tcPr>
            <w:vAlign w:val="center"/>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sz w:val="20"/>
                <w:szCs w:val="20"/>
                <w:rtl w:val="0"/>
              </w:rPr>
              <w:t xml:space="preserve">Libre</w:t>
            </w:r>
            <w:r w:rsidDel="00000000" w:rsidR="00000000" w:rsidRPr="00000000">
              <w:rPr>
                <w:rtl w:val="0"/>
              </w:rPr>
            </w:r>
          </w:p>
        </w:tc>
        <w:tc>
          <w:tcPr>
            <w:vAlign w:val="center"/>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sz w:val="20"/>
                <w:szCs w:val="20"/>
              </w:rPr>
              <w:drawing>
                <wp:inline distB="114300" distT="114300" distL="114300" distR="114300">
                  <wp:extent cx="1485900" cy="406400"/>
                  <wp:effectExtent b="0" l="0" r="0" t="0"/>
                  <wp:docPr id="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1485900" cy="4064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sz w:val="20"/>
                <w:szCs w:val="20"/>
                <w:rtl w:val="0"/>
              </w:rPr>
              <w:t xml:space="preserve">Redis</w:t>
            </w:r>
            <w:r w:rsidDel="00000000" w:rsidR="00000000" w:rsidRPr="00000000">
              <w:rPr>
                <w:rtl w:val="0"/>
              </w:rPr>
            </w:r>
          </w:p>
        </w:tc>
        <w:tc>
          <w:tcPr>
            <w:vAlign w:val="center"/>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sz w:val="20"/>
                <w:szCs w:val="20"/>
                <w:rtl w:val="0"/>
              </w:rPr>
              <w:t xml:space="preserve">No SQL</w:t>
            </w:r>
            <w:r w:rsidDel="00000000" w:rsidR="00000000" w:rsidRPr="00000000">
              <w:rPr>
                <w:rtl w:val="0"/>
              </w:rPr>
            </w:r>
          </w:p>
        </w:tc>
        <w:tc>
          <w:tcPr>
            <w:vAlign w:val="center"/>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0"/>
                <w:szCs w:val="20"/>
              </w:rPr>
            </w:pPr>
            <w:hyperlink r:id="rId22">
              <w:r w:rsidDel="00000000" w:rsidR="00000000" w:rsidRPr="00000000">
                <w:rPr>
                  <w:rFonts w:ascii="Calibri" w:cs="Calibri" w:eastAsia="Calibri" w:hAnsi="Calibri"/>
                  <w:b w:val="1"/>
                  <w:color w:val="1155cc"/>
                  <w:sz w:val="20"/>
                  <w:szCs w:val="20"/>
                  <w:u w:val="single"/>
                  <w:rtl w:val="0"/>
                </w:rPr>
                <w:t xml:space="preserve">Redis</w:t>
              </w:r>
            </w:hyperlink>
            <w:r w:rsidDel="00000000" w:rsidR="00000000" w:rsidRPr="00000000">
              <w:rPr>
                <w:rtl w:val="0"/>
              </w:rPr>
            </w:r>
          </w:p>
        </w:tc>
        <w:tc>
          <w:tcPr>
            <w:vAlign w:val="center"/>
          </w:tcPr>
          <w:p w:rsidR="00000000" w:rsidDel="00000000" w:rsidP="00000000" w:rsidRDefault="00000000" w:rsidRPr="00000000" w14:paraId="000000EC">
            <w:pPr>
              <w:numPr>
                <w:ilvl w:val="0"/>
                <w:numId w:val="6"/>
              </w:numPr>
              <w:ind w:left="425.1968503937013" w:hanging="36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Increíblemente rápido</w:t>
            </w:r>
            <w:r w:rsidDel="00000000" w:rsidR="00000000" w:rsidRPr="00000000">
              <w:rPr>
                <w:rFonts w:ascii="Calibri" w:cs="Calibri" w:eastAsia="Calibri" w:hAnsi="Calibri"/>
                <w:sz w:val="20"/>
                <w:szCs w:val="20"/>
                <w:rtl w:val="0"/>
              </w:rPr>
              <w:t xml:space="preserve">. Los datos se encuentran en la memoria principal, a diferencia de otros sistemas que se encuentran en SSD o disco duro convencional. Como se elimina el acceso a esos discos, se evitan retrasos: se accede y se opera mucho más rápido.</w:t>
            </w:r>
          </w:p>
          <w:p w:rsidR="00000000" w:rsidDel="00000000" w:rsidP="00000000" w:rsidRDefault="00000000" w:rsidRPr="00000000" w14:paraId="000000ED">
            <w:pPr>
              <w:numPr>
                <w:ilvl w:val="0"/>
                <w:numId w:val="6"/>
              </w:numPr>
              <w:ind w:left="425.1968503937013" w:hanging="36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Estructuras de datos en memoria.</w:t>
            </w:r>
            <w:r w:rsidDel="00000000" w:rsidR="00000000" w:rsidRPr="00000000">
              <w:rPr>
                <w:rFonts w:ascii="Calibri" w:cs="Calibri" w:eastAsia="Calibri" w:hAnsi="Calibri"/>
                <w:sz w:val="20"/>
                <w:szCs w:val="20"/>
                <w:rtl w:val="0"/>
              </w:rPr>
              <w:t xml:space="preserve">  Con Redis podemos guardar claves de diferentes tipos de datos y disponemos de un tamaño máximo de 512MB para una cadena, ya sea texto o datos binarios. También admite listas de cadenas, conjuntos de cadenas sin orden, conjuntos clasificados por puntuación, hashes e HyperLogLogs. Es decir, podemos almacenar en la memoria prácticamente cualquier tipo de dato.</w:t>
            </w:r>
          </w:p>
          <w:p w:rsidR="00000000" w:rsidDel="00000000" w:rsidP="00000000" w:rsidRDefault="00000000" w:rsidRPr="00000000" w14:paraId="000000EE">
            <w:pPr>
              <w:numPr>
                <w:ilvl w:val="0"/>
                <w:numId w:val="6"/>
              </w:numPr>
              <w:ind w:left="425.1968503937013" w:hanging="36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Replicación y persistencia.</w:t>
            </w:r>
          </w:p>
          <w:p w:rsidR="00000000" w:rsidDel="00000000" w:rsidP="00000000" w:rsidRDefault="00000000" w:rsidRPr="00000000" w14:paraId="000000EF">
            <w:pPr>
              <w:numPr>
                <w:ilvl w:val="0"/>
                <w:numId w:val="6"/>
              </w:numPr>
              <w:ind w:left="425.1968503937013" w:hanging="36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Compatibilidad con casi cualquier lenguaje.</w:t>
            </w:r>
            <w:r w:rsidDel="00000000" w:rsidR="00000000" w:rsidRPr="00000000">
              <w:rPr>
                <w:rtl w:val="0"/>
              </w:rPr>
            </w:r>
          </w:p>
          <w:p w:rsidR="00000000" w:rsidDel="00000000" w:rsidP="00000000" w:rsidRDefault="00000000" w:rsidRPr="00000000" w14:paraId="000000F0">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F1">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F2">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F3">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F4">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F5">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F6">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F7">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F8">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Además, es muy fácil de utilizar, gracias a las diferentes herramientas que aceleran el desarrollo, como:</w:t>
            </w:r>
          </w:p>
          <w:p w:rsidR="00000000" w:rsidDel="00000000" w:rsidP="00000000" w:rsidRDefault="00000000" w:rsidRPr="00000000" w14:paraId="000000F9">
            <w:pPr>
              <w:numPr>
                <w:ilvl w:val="0"/>
                <w:numId w:val="7"/>
              </w:numPr>
              <w:ind w:left="425.1968503937013" w:hanging="36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Pub/Sub,</w:t>
            </w:r>
            <w:r w:rsidDel="00000000" w:rsidR="00000000" w:rsidRPr="00000000">
              <w:rPr>
                <w:rFonts w:ascii="Calibri" w:cs="Calibri" w:eastAsia="Calibri" w:hAnsi="Calibri"/>
                <w:sz w:val="20"/>
                <w:szCs w:val="20"/>
                <w:rtl w:val="0"/>
              </w:rPr>
              <w:t xml:space="preserve"> fantástico para sistemas de mensajería instantánea y que permite publicar mensajes en canales para entregar a los suscriptores.</w:t>
            </w:r>
          </w:p>
          <w:p w:rsidR="00000000" w:rsidDel="00000000" w:rsidP="00000000" w:rsidRDefault="00000000" w:rsidRPr="00000000" w14:paraId="000000FA">
            <w:pPr>
              <w:numPr>
                <w:ilvl w:val="0"/>
                <w:numId w:val="7"/>
              </w:numPr>
              <w:ind w:left="425.1968503937013" w:hanging="36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Claves TTL,</w:t>
            </w:r>
            <w:r w:rsidDel="00000000" w:rsidR="00000000" w:rsidRPr="00000000">
              <w:rPr>
                <w:rFonts w:ascii="Calibri" w:cs="Calibri" w:eastAsia="Calibri" w:hAnsi="Calibri"/>
                <w:sz w:val="20"/>
                <w:szCs w:val="20"/>
                <w:rtl w:val="0"/>
              </w:rPr>
              <w:t xml:space="preserve"> que se destruyen a sí mismas con el tiempo que le indiquemos y que son ideales para evitar datos innecesarios en nuestra base.</w:t>
            </w:r>
          </w:p>
          <w:p w:rsidR="00000000" w:rsidDel="00000000" w:rsidP="00000000" w:rsidRDefault="00000000" w:rsidRPr="00000000" w14:paraId="000000FB">
            <w:pPr>
              <w:numPr>
                <w:ilvl w:val="0"/>
                <w:numId w:val="7"/>
              </w:numPr>
              <w:ind w:left="425.1968503937013" w:hanging="36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Contadores atómicos,</w:t>
            </w:r>
            <w:r w:rsidDel="00000000" w:rsidR="00000000" w:rsidRPr="00000000">
              <w:rPr>
                <w:rFonts w:ascii="Calibri" w:cs="Calibri" w:eastAsia="Calibri" w:hAnsi="Calibri"/>
                <w:sz w:val="20"/>
                <w:szCs w:val="20"/>
                <w:rtl w:val="0"/>
              </w:rPr>
              <w:t xml:space="preserve"> que nos aseguran que no se creen resultados incoherentes.</w:t>
            </w:r>
          </w:p>
          <w:p w:rsidR="00000000" w:rsidDel="00000000" w:rsidP="00000000" w:rsidRDefault="00000000" w:rsidRPr="00000000" w14:paraId="000000FC">
            <w:pPr>
              <w:numPr>
                <w:ilvl w:val="0"/>
                <w:numId w:val="7"/>
              </w:numPr>
              <w:ind w:left="425.1968503937013" w:hanging="36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Lua, </w:t>
            </w:r>
            <w:r w:rsidDel="00000000" w:rsidR="00000000" w:rsidRPr="00000000">
              <w:rPr>
                <w:rFonts w:ascii="Calibri" w:cs="Calibri" w:eastAsia="Calibri" w:hAnsi="Calibri"/>
                <w:sz w:val="20"/>
                <w:szCs w:val="20"/>
                <w:rtl w:val="0"/>
              </w:rPr>
              <w:t xml:space="preserve">un lenguaje de scripts liviano pero poderoso.</w:t>
            </w:r>
          </w:p>
          <w:p w:rsidR="00000000" w:rsidDel="00000000" w:rsidP="00000000" w:rsidRDefault="00000000" w:rsidRPr="00000000" w14:paraId="000000FD">
            <w:pPr>
              <w:ind w:left="425.1968503937013"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FE">
            <w:pPr>
              <w:ind w:left="425.1968503937013"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FF">
            <w:pPr>
              <w:ind w:left="425.1968503937013"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00">
            <w:pPr>
              <w:ind w:left="425.1968503937013"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01">
            <w:pPr>
              <w:ind w:left="425.1968503937013"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02">
            <w:pPr>
              <w:ind w:left="425.1968503937013"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03">
            <w:pPr>
              <w:ind w:left="425.1968503937013"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04">
            <w:pPr>
              <w:ind w:left="425.1968503937013"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05">
            <w:pPr>
              <w:ind w:left="425.1968503937013"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06">
            <w:pPr>
              <w:ind w:left="425.1968503937013"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07">
            <w:pPr>
              <w:ind w:left="425.1968503937013"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08">
            <w:pPr>
              <w:ind w:left="425.1968503937013"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09">
            <w:pPr>
              <w:ind w:left="425.1968503937013"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0A">
            <w:pPr>
              <w:ind w:left="425.1968503937013"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0B">
            <w:pPr>
              <w:ind w:left="425.1968503937013"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0C">
            <w:pPr>
              <w:ind w:left="425.1968503937013"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0D">
            <w:pPr>
              <w:ind w:left="0" w:firstLine="0"/>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sz w:val="20"/>
                <w:szCs w:val="20"/>
                <w:rtl w:val="0"/>
              </w:rPr>
              <w:t xml:space="preserve">Libre</w:t>
            </w:r>
            <w:r w:rsidDel="00000000" w:rsidR="00000000" w:rsidRPr="00000000">
              <w:rPr>
                <w:rtl w:val="0"/>
              </w:rPr>
            </w:r>
          </w:p>
        </w:tc>
        <w:tc>
          <w:tcPr>
            <w:vAlign w:val="center"/>
          </w:tcPr>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sz w:val="20"/>
                <w:szCs w:val="20"/>
              </w:rPr>
              <w:drawing>
                <wp:inline distB="114300" distT="114300" distL="114300" distR="114300">
                  <wp:extent cx="1485900" cy="1257300"/>
                  <wp:effectExtent b="0" l="0" r="0" t="0"/>
                  <wp:docPr id="8"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1485900" cy="12573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sz w:val="20"/>
                <w:szCs w:val="20"/>
                <w:rtl w:val="0"/>
              </w:rPr>
              <w:t xml:space="preserve">IBM Db2</w:t>
            </w:r>
            <w:r w:rsidDel="00000000" w:rsidR="00000000" w:rsidRPr="00000000">
              <w:rPr>
                <w:rtl w:val="0"/>
              </w:rPr>
            </w:r>
          </w:p>
        </w:tc>
        <w:tc>
          <w:tcPr>
            <w:vAlign w:val="center"/>
          </w:tcPr>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sz w:val="20"/>
                <w:szCs w:val="20"/>
                <w:rtl w:val="0"/>
              </w:rPr>
              <w:t xml:space="preserve">Relacional</w:t>
            </w:r>
            <w:r w:rsidDel="00000000" w:rsidR="00000000" w:rsidRPr="00000000">
              <w:rPr>
                <w:rtl w:val="0"/>
              </w:rPr>
            </w:r>
          </w:p>
        </w:tc>
        <w:tc>
          <w:tcPr>
            <w:vAlign w:val="center"/>
          </w:tcPr>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0"/>
                <w:szCs w:val="20"/>
              </w:rPr>
            </w:pPr>
            <w:hyperlink r:id="rId24">
              <w:r w:rsidDel="00000000" w:rsidR="00000000" w:rsidRPr="00000000">
                <w:rPr>
                  <w:rFonts w:ascii="Calibri" w:cs="Calibri" w:eastAsia="Calibri" w:hAnsi="Calibri"/>
                  <w:b w:val="1"/>
                  <w:color w:val="1155cc"/>
                  <w:sz w:val="20"/>
                  <w:szCs w:val="20"/>
                  <w:u w:val="single"/>
                  <w:rtl w:val="0"/>
                </w:rPr>
                <w:t xml:space="preserve">IBM Db2 – Software de gestión de datos - España</w:t>
              </w:r>
            </w:hyperlink>
            <w:r w:rsidDel="00000000" w:rsidR="00000000" w:rsidRPr="00000000">
              <w:rPr>
                <w:rtl w:val="0"/>
              </w:rPr>
            </w:r>
          </w:p>
        </w:tc>
        <w:tc>
          <w:tcPr>
            <w:vAlign w:val="center"/>
          </w:tcPr>
          <w:p w:rsidR="00000000" w:rsidDel="00000000" w:rsidP="00000000" w:rsidRDefault="00000000" w:rsidRPr="00000000" w14:paraId="00000114">
            <w:pPr>
              <w:numPr>
                <w:ilvl w:val="0"/>
                <w:numId w:val="4"/>
              </w:numPr>
              <w:ind w:left="425.1968503937013" w:hanging="36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Integridad</w:t>
            </w:r>
          </w:p>
          <w:p w:rsidR="00000000" w:rsidDel="00000000" w:rsidP="00000000" w:rsidRDefault="00000000" w:rsidRPr="00000000" w14:paraId="00000115">
            <w:pPr>
              <w:numPr>
                <w:ilvl w:val="0"/>
                <w:numId w:val="4"/>
              </w:numPr>
              <w:ind w:left="425.1968503937013" w:hanging="36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Múltiples usos: </w:t>
            </w:r>
            <w:r w:rsidDel="00000000" w:rsidR="00000000" w:rsidRPr="00000000">
              <w:rPr>
                <w:rFonts w:ascii="Calibri" w:cs="Calibri" w:eastAsia="Calibri" w:hAnsi="Calibri"/>
                <w:sz w:val="20"/>
                <w:szCs w:val="20"/>
                <w:rtl w:val="0"/>
              </w:rPr>
              <w:t xml:space="preserve">Provee la capacidad de hacer frente a múltiples necesidades, desde Procesamiento Transaccional de Misión Crítica (OLTP), hasta análisis exhaustivo de los datos para el soporte a la toma de decisiones (OLAP).</w:t>
            </w:r>
          </w:p>
          <w:p w:rsidR="00000000" w:rsidDel="00000000" w:rsidP="00000000" w:rsidRDefault="00000000" w:rsidRPr="00000000" w14:paraId="00000116">
            <w:pPr>
              <w:numPr>
                <w:ilvl w:val="0"/>
                <w:numId w:val="4"/>
              </w:numPr>
              <w:ind w:left="425.1968503937013" w:hanging="36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Escalabilidad: </w:t>
            </w:r>
            <w:r w:rsidDel="00000000" w:rsidR="00000000" w:rsidRPr="00000000">
              <w:rPr>
                <w:rFonts w:ascii="Calibri" w:cs="Calibri" w:eastAsia="Calibri" w:hAnsi="Calibri"/>
                <w:sz w:val="20"/>
                <w:szCs w:val="20"/>
                <w:rtl w:val="0"/>
              </w:rPr>
              <w:t xml:space="preserve">le permiten almacenar información en un amplio rango de equipos, desde un PC portátil hasta un complejo ambiente de mainframes procesando en paralelo.</w:t>
            </w:r>
          </w:p>
          <w:p w:rsidR="00000000" w:rsidDel="00000000" w:rsidP="00000000" w:rsidRDefault="00000000" w:rsidRPr="00000000" w14:paraId="00000117">
            <w:pPr>
              <w:numPr>
                <w:ilvl w:val="0"/>
                <w:numId w:val="4"/>
              </w:numPr>
              <w:ind w:left="425.1968503937013" w:hanging="36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Web enabled para e-business: </w:t>
            </w:r>
            <w:r w:rsidDel="00000000" w:rsidR="00000000" w:rsidRPr="00000000">
              <w:rPr>
                <w:rFonts w:ascii="Calibri" w:cs="Calibri" w:eastAsia="Calibri" w:hAnsi="Calibri"/>
                <w:sz w:val="20"/>
                <w:szCs w:val="20"/>
                <w:rtl w:val="0"/>
              </w:rPr>
              <w:t xml:space="preserve">Incluye tecnología basada en Web que permite generar aplicaciones en las Intranets y responder a las oportunidades de negocios disponibles en Internet.</w:t>
            </w:r>
          </w:p>
          <w:p w:rsidR="00000000" w:rsidDel="00000000" w:rsidP="00000000" w:rsidRDefault="00000000" w:rsidRPr="00000000" w14:paraId="00000118">
            <w:pPr>
              <w:numPr>
                <w:ilvl w:val="0"/>
                <w:numId w:val="4"/>
              </w:numPr>
              <w:ind w:left="425.1968503937013" w:hanging="36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Universalidad:</w:t>
            </w:r>
            <w:r w:rsidDel="00000000" w:rsidR="00000000" w:rsidRPr="00000000">
              <w:rPr>
                <w:rFonts w:ascii="Calibri" w:cs="Calibri" w:eastAsia="Calibri" w:hAnsi="Calibri"/>
                <w:sz w:val="20"/>
                <w:szCs w:val="20"/>
                <w:rtl w:val="0"/>
              </w:rPr>
              <w:t xml:space="preserve"> la única base de datos realmente universal; es multiplataforma (16 plataformas - de las cuales 10 no son de IBM), brinda soporte a un amplio rango de clientes, soporta el acceso de los datos desde Internet y permite almacenar todo tipo de datos:</w:t>
            </w:r>
          </w:p>
          <w:p w:rsidR="00000000" w:rsidDel="00000000" w:rsidP="00000000" w:rsidRDefault="00000000" w:rsidRPr="00000000" w14:paraId="00000119">
            <w:pPr>
              <w:numPr>
                <w:ilvl w:val="0"/>
                <w:numId w:val="5"/>
              </w:numPr>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Texto, Audio, Imágenes y Video (AIV Extender)</w:t>
            </w:r>
          </w:p>
          <w:p w:rsidR="00000000" w:rsidDel="00000000" w:rsidP="00000000" w:rsidRDefault="00000000" w:rsidRPr="00000000" w14:paraId="0000011A">
            <w:pPr>
              <w:numPr>
                <w:ilvl w:val="0"/>
                <w:numId w:val="5"/>
              </w:numPr>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Documentos XML ( XML Extender)</w:t>
            </w:r>
          </w:p>
        </w:tc>
        <w:tc>
          <w:tcPr>
            <w:vAlign w:val="center"/>
          </w:tcPr>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sz w:val="20"/>
                <w:szCs w:val="20"/>
                <w:rtl w:val="0"/>
              </w:rPr>
              <w:t xml:space="preserve">Comercial</w:t>
            </w:r>
            <w:r w:rsidDel="00000000" w:rsidR="00000000" w:rsidRPr="00000000">
              <w:rPr>
                <w:rtl w:val="0"/>
              </w:rPr>
            </w:r>
          </w:p>
        </w:tc>
        <w:tc>
          <w:tcPr>
            <w:vAlign w:val="center"/>
          </w:tcPr>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sz w:val="20"/>
                <w:szCs w:val="20"/>
              </w:rPr>
              <w:drawing>
                <wp:inline distB="114300" distT="114300" distL="114300" distR="114300">
                  <wp:extent cx="1485900" cy="1485900"/>
                  <wp:effectExtent b="0" l="0" r="0" t="0"/>
                  <wp:docPr id="3"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1485900" cy="14859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sz w:val="20"/>
                <w:szCs w:val="20"/>
                <w:rtl w:val="0"/>
              </w:rPr>
              <w:t xml:space="preserve">Microsoft Access</w:t>
            </w:r>
            <w:r w:rsidDel="00000000" w:rsidR="00000000" w:rsidRPr="00000000">
              <w:rPr>
                <w:rtl w:val="0"/>
              </w:rPr>
            </w:r>
          </w:p>
        </w:tc>
        <w:tc>
          <w:tcPr>
            <w:vAlign w:val="center"/>
          </w:tcPr>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sz w:val="20"/>
                <w:szCs w:val="20"/>
                <w:rtl w:val="0"/>
              </w:rPr>
              <w:t xml:space="preserve">Relacional</w:t>
            </w:r>
            <w:r w:rsidDel="00000000" w:rsidR="00000000" w:rsidRPr="00000000">
              <w:rPr>
                <w:rtl w:val="0"/>
              </w:rPr>
            </w:r>
          </w:p>
        </w:tc>
        <w:tc>
          <w:tcPr>
            <w:vAlign w:val="center"/>
          </w:tcPr>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0"/>
                <w:szCs w:val="20"/>
              </w:rPr>
            </w:pPr>
            <w:hyperlink r:id="rId26">
              <w:r w:rsidDel="00000000" w:rsidR="00000000" w:rsidRPr="00000000">
                <w:rPr>
                  <w:rFonts w:ascii="Calibri" w:cs="Calibri" w:eastAsia="Calibri" w:hAnsi="Calibri"/>
                  <w:b w:val="1"/>
                  <w:color w:val="1155cc"/>
                  <w:sz w:val="20"/>
                  <w:szCs w:val="20"/>
                  <w:u w:val="single"/>
                  <w:rtl w:val="0"/>
                </w:rPr>
                <w:t xml:space="preserve">https://www.microsoft.com/es-es/microsoft-365/access</w:t>
              </w:r>
            </w:hyperlink>
            <w:r w:rsidDel="00000000" w:rsidR="00000000" w:rsidRPr="00000000">
              <w:rPr>
                <w:rtl w:val="0"/>
              </w:rPr>
            </w:r>
          </w:p>
        </w:tc>
        <w:tc>
          <w:tcPr>
            <w:vAlign w:val="center"/>
          </w:tcPr>
          <w:p w:rsidR="00000000" w:rsidDel="00000000" w:rsidP="00000000" w:rsidRDefault="00000000" w:rsidRPr="00000000" w14:paraId="00000121">
            <w:pPr>
              <w:ind w:left="0" w:firstLine="0"/>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122">
            <w:pPr>
              <w:ind w:left="0" w:firstLine="0"/>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123">
            <w:pPr>
              <w:ind w:left="0" w:firstLine="0"/>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124">
            <w:pPr>
              <w:ind w:left="0" w:firstLine="0"/>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125">
            <w:pPr>
              <w:numPr>
                <w:ilvl w:val="0"/>
                <w:numId w:val="3"/>
              </w:numPr>
              <w:ind w:left="720" w:hanging="36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Ideal para usuarios individuales y equipos pequeños</w:t>
            </w:r>
          </w:p>
          <w:p w:rsidR="00000000" w:rsidDel="00000000" w:rsidP="00000000" w:rsidRDefault="00000000" w:rsidRPr="00000000" w14:paraId="00000126">
            <w:pPr>
              <w:numPr>
                <w:ilvl w:val="0"/>
                <w:numId w:val="3"/>
              </w:numPr>
              <w:ind w:left="720" w:hanging="36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Más fácil de entender y utilizar que la base de datos cliente-servidor</w:t>
            </w:r>
          </w:p>
          <w:p w:rsidR="00000000" w:rsidDel="00000000" w:rsidP="00000000" w:rsidRDefault="00000000" w:rsidRPr="00000000" w14:paraId="00000127">
            <w:pPr>
              <w:numPr>
                <w:ilvl w:val="0"/>
                <w:numId w:val="3"/>
              </w:numPr>
              <w:ind w:left="720" w:hanging="36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Importación y exportación a otras aplicaciones de Microsoft Office y otras aplicaciones</w:t>
            </w:r>
          </w:p>
          <w:p w:rsidR="00000000" w:rsidDel="00000000" w:rsidP="00000000" w:rsidRDefault="00000000" w:rsidRPr="00000000" w14:paraId="00000128">
            <w:pPr>
              <w:numPr>
                <w:ilvl w:val="0"/>
                <w:numId w:val="3"/>
              </w:numPr>
              <w:ind w:left="720" w:hanging="36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Plantillas listas para que los usuarios habituales creen y publiquen datos</w:t>
            </w:r>
          </w:p>
          <w:p w:rsidR="00000000" w:rsidDel="00000000" w:rsidP="00000000" w:rsidRDefault="00000000" w:rsidRPr="00000000" w14:paraId="00000129">
            <w:pPr>
              <w:numPr>
                <w:ilvl w:val="0"/>
                <w:numId w:val="3"/>
              </w:numPr>
              <w:ind w:left="720" w:hanging="36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Permite construir y publicar bases de datos en la Web sin esfuerzo</w:t>
            </w:r>
          </w:p>
          <w:p w:rsidR="00000000" w:rsidDel="00000000" w:rsidP="00000000" w:rsidRDefault="00000000" w:rsidRPr="00000000" w14:paraId="0000012A">
            <w:pPr>
              <w:numPr>
                <w:ilvl w:val="0"/>
                <w:numId w:val="3"/>
              </w:numPr>
              <w:ind w:left="720" w:hanging="36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Una función fácil de usar ‘Tell Me’ para asistencia</w:t>
            </w:r>
          </w:p>
          <w:p w:rsidR="00000000" w:rsidDel="00000000" w:rsidP="00000000" w:rsidRDefault="00000000" w:rsidRPr="00000000" w14:paraId="0000012B">
            <w:pPr>
              <w:numPr>
                <w:ilvl w:val="0"/>
                <w:numId w:val="3"/>
              </w:numPr>
              <w:ind w:left="720" w:hanging="36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Permite a los desarrolladores crear soluciones personalizadas utilizando el código VBA</w:t>
            </w:r>
          </w:p>
          <w:p w:rsidR="00000000" w:rsidDel="00000000" w:rsidP="00000000" w:rsidRDefault="00000000" w:rsidRPr="00000000" w14:paraId="0000012C">
            <w:pPr>
              <w:numPr>
                <w:ilvl w:val="0"/>
                <w:numId w:val="3"/>
              </w:numPr>
              <w:ind w:left="720" w:hanging="36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Opción de ocultar/mostrar la cinta</w:t>
            </w:r>
          </w:p>
          <w:p w:rsidR="00000000" w:rsidDel="00000000" w:rsidP="00000000" w:rsidRDefault="00000000" w:rsidRPr="00000000" w14:paraId="0000012D">
            <w:pPr>
              <w:numPr>
                <w:ilvl w:val="0"/>
                <w:numId w:val="3"/>
              </w:numPr>
              <w:ind w:left="720" w:hanging="36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Permite a los usuarios ver los informes Elimina los informes adicionales</w:t>
            </w:r>
          </w:p>
          <w:p w:rsidR="00000000" w:rsidDel="00000000" w:rsidP="00000000" w:rsidRDefault="00000000" w:rsidRPr="00000000" w14:paraId="0000012E">
            <w:pPr>
              <w:numPr>
                <w:ilvl w:val="0"/>
                <w:numId w:val="3"/>
              </w:numPr>
              <w:ind w:left="720" w:hanging="36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Permite la salida de informes en formato PDF</w:t>
            </w:r>
          </w:p>
          <w:p w:rsidR="00000000" w:rsidDel="00000000" w:rsidP="00000000" w:rsidRDefault="00000000" w:rsidRPr="00000000" w14:paraId="0000012F">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130">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131">
            <w:pPr>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sz w:val="20"/>
                <w:szCs w:val="20"/>
                <w:rtl w:val="0"/>
              </w:rPr>
              <w:t xml:space="preserve">Comercial</w:t>
            </w:r>
            <w:r w:rsidDel="00000000" w:rsidR="00000000" w:rsidRPr="00000000">
              <w:rPr>
                <w:rtl w:val="0"/>
              </w:rPr>
            </w:r>
          </w:p>
        </w:tc>
        <w:tc>
          <w:tcPr>
            <w:vAlign w:val="center"/>
          </w:tcPr>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sz w:val="20"/>
                <w:szCs w:val="20"/>
              </w:rPr>
              <w:drawing>
                <wp:inline distB="114300" distT="114300" distL="114300" distR="114300">
                  <wp:extent cx="1485900" cy="1447800"/>
                  <wp:effectExtent b="0" l="0" r="0" t="0"/>
                  <wp:docPr id="5"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1485900" cy="14478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sz w:val="20"/>
                <w:szCs w:val="20"/>
                <w:rtl w:val="0"/>
              </w:rPr>
              <w:t xml:space="preserve">Elasticsearch</w:t>
            </w:r>
            <w:r w:rsidDel="00000000" w:rsidR="00000000" w:rsidRPr="00000000">
              <w:rPr>
                <w:rtl w:val="0"/>
              </w:rPr>
            </w:r>
          </w:p>
        </w:tc>
        <w:tc>
          <w:tcPr>
            <w:vAlign w:val="center"/>
          </w:tcPr>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sz w:val="20"/>
                <w:szCs w:val="20"/>
                <w:rtl w:val="0"/>
              </w:rPr>
              <w:t xml:space="preserve">NoSQL</w:t>
            </w:r>
            <w:r w:rsidDel="00000000" w:rsidR="00000000" w:rsidRPr="00000000">
              <w:rPr>
                <w:rtl w:val="0"/>
              </w:rPr>
            </w:r>
          </w:p>
        </w:tc>
        <w:tc>
          <w:tcPr>
            <w:vAlign w:val="center"/>
          </w:tcPr>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0"/>
                <w:szCs w:val="20"/>
              </w:rPr>
            </w:pPr>
            <w:hyperlink r:id="rId28">
              <w:r w:rsidDel="00000000" w:rsidR="00000000" w:rsidRPr="00000000">
                <w:rPr>
                  <w:rFonts w:ascii="Calibri" w:cs="Calibri" w:eastAsia="Calibri" w:hAnsi="Calibri"/>
                  <w:b w:val="1"/>
                  <w:color w:val="1155cc"/>
                  <w:sz w:val="20"/>
                  <w:szCs w:val="20"/>
                  <w:u w:val="single"/>
                  <w:rtl w:val="0"/>
                </w:rPr>
                <w:t xml:space="preserve">¿Qué es Elasticsearch? | Elastic</w:t>
              </w:r>
            </w:hyperlink>
            <w:r w:rsidDel="00000000" w:rsidR="00000000" w:rsidRPr="00000000">
              <w:rPr>
                <w:rtl w:val="0"/>
              </w:rPr>
            </w:r>
          </w:p>
        </w:tc>
        <w:tc>
          <w:tcPr>
            <w:vAlign w:val="center"/>
          </w:tcPr>
          <w:p w:rsidR="00000000" w:rsidDel="00000000" w:rsidP="00000000" w:rsidRDefault="00000000" w:rsidRPr="00000000" w14:paraId="00000139">
            <w:pPr>
              <w:rPr>
                <w:rFonts w:ascii="Calibri" w:cs="Calibri" w:eastAsia="Calibri" w:hAnsi="Calibri"/>
                <w:b w:val="1"/>
                <w:sz w:val="16"/>
                <w:szCs w:val="16"/>
              </w:rPr>
            </w:pPr>
            <w:r w:rsidDel="00000000" w:rsidR="00000000" w:rsidRPr="00000000">
              <w:rPr>
                <w:rFonts w:ascii="Calibri" w:cs="Calibri" w:eastAsia="Calibri" w:hAnsi="Calibri"/>
                <w:sz w:val="20"/>
                <w:szCs w:val="20"/>
                <w:rtl w:val="0"/>
              </w:rPr>
              <w:t xml:space="preserve">Es un motor de búsqueda que se basa en Lucene el cual nos permite realizar búsquedas por una gran cantidad de datos de un texto específico. Está escrito en </w:t>
            </w:r>
            <w:hyperlink r:id="rId29">
              <w:r w:rsidDel="00000000" w:rsidR="00000000" w:rsidRPr="00000000">
                <w:rPr>
                  <w:rFonts w:ascii="Calibri" w:cs="Calibri" w:eastAsia="Calibri" w:hAnsi="Calibri"/>
                  <w:color w:val="1155cc"/>
                  <w:sz w:val="20"/>
                  <w:szCs w:val="20"/>
                  <w:u w:val="single"/>
                  <w:rtl w:val="0"/>
                </w:rPr>
                <w:t xml:space="preserve">Java</w:t>
              </w:r>
            </w:hyperlink>
            <w:r w:rsidDel="00000000" w:rsidR="00000000" w:rsidRPr="00000000">
              <w:rPr>
                <w:rFonts w:ascii="Calibri" w:cs="Calibri" w:eastAsia="Calibri" w:hAnsi="Calibri"/>
                <w:sz w:val="20"/>
                <w:szCs w:val="20"/>
                <w:rtl w:val="0"/>
              </w:rPr>
              <w:t xml:space="preserve"> y se basa sobre una licencia Apache.</w:t>
            </w:r>
            <w:r w:rsidDel="00000000" w:rsidR="00000000" w:rsidRPr="00000000">
              <w:rPr>
                <w:rtl w:val="0"/>
              </w:rPr>
            </w:r>
          </w:p>
          <w:p w:rsidR="00000000" w:rsidDel="00000000" w:rsidP="00000000" w:rsidRDefault="00000000" w:rsidRPr="00000000" w14:paraId="0000013A">
            <w:pPr>
              <w:numPr>
                <w:ilvl w:val="0"/>
                <w:numId w:val="3"/>
              </w:numPr>
              <w:ind w:left="720" w:hanging="36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Acceso por API</w:t>
            </w:r>
          </w:p>
          <w:p w:rsidR="00000000" w:rsidDel="00000000" w:rsidP="00000000" w:rsidRDefault="00000000" w:rsidRPr="00000000" w14:paraId="0000013B">
            <w:pPr>
              <w:numPr>
                <w:ilvl w:val="0"/>
                <w:numId w:val="3"/>
              </w:numPr>
              <w:ind w:left="720" w:hanging="360"/>
              <w:rPr>
                <w:rFonts w:ascii="Calibri" w:cs="Calibri" w:eastAsia="Calibri" w:hAnsi="Calibri"/>
                <w:b w:val="1"/>
                <w:sz w:val="20"/>
                <w:szCs w:val="20"/>
                <w:u w:val="none"/>
              </w:rPr>
            </w:pPr>
            <w:r w:rsidDel="00000000" w:rsidR="00000000" w:rsidRPr="00000000">
              <w:rPr>
                <w:rFonts w:ascii="Calibri" w:cs="Calibri" w:eastAsia="Calibri" w:hAnsi="Calibri"/>
                <w:b w:val="1"/>
                <w:sz w:val="20"/>
                <w:szCs w:val="20"/>
                <w:rtl w:val="0"/>
              </w:rPr>
              <w:t xml:space="preserve">Escalabilidad</w:t>
            </w:r>
          </w:p>
          <w:p w:rsidR="00000000" w:rsidDel="00000000" w:rsidP="00000000" w:rsidRDefault="00000000" w:rsidRPr="00000000" w14:paraId="0000013C">
            <w:pPr>
              <w:numPr>
                <w:ilvl w:val="0"/>
                <w:numId w:val="3"/>
              </w:numPr>
              <w:ind w:left="720" w:hanging="360"/>
              <w:rPr>
                <w:rFonts w:ascii="Calibri" w:cs="Calibri" w:eastAsia="Calibri" w:hAnsi="Calibri"/>
                <w:b w:val="1"/>
                <w:sz w:val="20"/>
                <w:szCs w:val="20"/>
                <w:u w:val="none"/>
              </w:rPr>
            </w:pPr>
            <w:r w:rsidDel="00000000" w:rsidR="00000000" w:rsidRPr="00000000">
              <w:rPr>
                <w:rFonts w:ascii="Calibri" w:cs="Calibri" w:eastAsia="Calibri" w:hAnsi="Calibri"/>
                <w:b w:val="1"/>
                <w:sz w:val="20"/>
                <w:szCs w:val="20"/>
                <w:rtl w:val="0"/>
              </w:rPr>
              <w:t xml:space="preserve">Orientado a documentos</w:t>
            </w:r>
          </w:p>
          <w:p w:rsidR="00000000" w:rsidDel="00000000" w:rsidP="00000000" w:rsidRDefault="00000000" w:rsidRPr="00000000" w14:paraId="0000013D">
            <w:pPr>
              <w:numPr>
                <w:ilvl w:val="0"/>
                <w:numId w:val="3"/>
              </w:numPr>
              <w:ind w:left="720" w:hanging="360"/>
              <w:rPr>
                <w:rFonts w:ascii="Calibri" w:cs="Calibri" w:eastAsia="Calibri" w:hAnsi="Calibri"/>
                <w:b w:val="1"/>
                <w:sz w:val="20"/>
                <w:szCs w:val="20"/>
                <w:u w:val="none"/>
              </w:rPr>
            </w:pPr>
            <w:r w:rsidDel="00000000" w:rsidR="00000000" w:rsidRPr="00000000">
              <w:rPr>
                <w:rFonts w:ascii="Calibri" w:cs="Calibri" w:eastAsia="Calibri" w:hAnsi="Calibri"/>
                <w:b w:val="1"/>
                <w:sz w:val="20"/>
                <w:szCs w:val="20"/>
                <w:rtl w:val="0"/>
              </w:rPr>
              <w:t xml:space="preserve">Gran velocidad</w:t>
            </w:r>
          </w:p>
          <w:p w:rsidR="00000000" w:rsidDel="00000000" w:rsidP="00000000" w:rsidRDefault="00000000" w:rsidRPr="00000000" w14:paraId="0000013E">
            <w:pPr>
              <w:rPr>
                <w:rFonts w:ascii="Calibri" w:cs="Calibri" w:eastAsia="Calibri" w:hAnsi="Calibri"/>
                <w:b w:val="1"/>
                <w:sz w:val="20"/>
                <w:szCs w:val="20"/>
              </w:rPr>
            </w:pPr>
            <w:r w:rsidDel="00000000" w:rsidR="00000000" w:rsidRPr="00000000">
              <w:rPr>
                <w:rtl w:val="0"/>
              </w:rPr>
            </w:r>
          </w:p>
        </w:tc>
        <w:tc>
          <w:tcPr>
            <w:vAlign w:val="center"/>
          </w:tcPr>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sz w:val="20"/>
                <w:szCs w:val="20"/>
                <w:rtl w:val="0"/>
              </w:rPr>
              <w:t xml:space="preserve">Libre</w:t>
            </w:r>
            <w:r w:rsidDel="00000000" w:rsidR="00000000" w:rsidRPr="00000000">
              <w:rPr>
                <w:rtl w:val="0"/>
              </w:rPr>
            </w:r>
          </w:p>
        </w:tc>
        <w:tc>
          <w:tcPr>
            <w:vAlign w:val="center"/>
          </w:tcPr>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sz w:val="20"/>
                <w:szCs w:val="20"/>
              </w:rPr>
              <w:drawing>
                <wp:inline distB="114300" distT="114300" distL="114300" distR="114300">
                  <wp:extent cx="1485900" cy="812800"/>
                  <wp:effectExtent b="0" l="0" r="0" t="0"/>
                  <wp:docPr id="17"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1485900" cy="8128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sz w:val="20"/>
                <w:szCs w:val="20"/>
                <w:rtl w:val="0"/>
              </w:rPr>
              <w:t xml:space="preserve">SQLite</w:t>
            </w:r>
            <w:r w:rsidDel="00000000" w:rsidR="00000000" w:rsidRPr="00000000">
              <w:rPr>
                <w:rtl w:val="0"/>
              </w:rPr>
            </w:r>
          </w:p>
        </w:tc>
        <w:tc>
          <w:tcPr>
            <w:vAlign w:val="center"/>
          </w:tcPr>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sz w:val="20"/>
                <w:szCs w:val="20"/>
                <w:rtl w:val="0"/>
              </w:rPr>
              <w:t xml:space="preserve">Relacional</w:t>
            </w:r>
            <w:r w:rsidDel="00000000" w:rsidR="00000000" w:rsidRPr="00000000">
              <w:rPr>
                <w:rtl w:val="0"/>
              </w:rPr>
            </w:r>
          </w:p>
        </w:tc>
        <w:tc>
          <w:tcPr>
            <w:vAlign w:val="center"/>
          </w:tcPr>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0"/>
                <w:szCs w:val="20"/>
              </w:rPr>
            </w:pPr>
            <w:hyperlink r:id="rId31">
              <w:r w:rsidDel="00000000" w:rsidR="00000000" w:rsidRPr="00000000">
                <w:rPr>
                  <w:rFonts w:ascii="Calibri" w:cs="Calibri" w:eastAsia="Calibri" w:hAnsi="Calibri"/>
                  <w:b w:val="1"/>
                  <w:color w:val="1155cc"/>
                  <w:sz w:val="20"/>
                  <w:szCs w:val="20"/>
                  <w:u w:val="single"/>
                  <w:rtl w:val="0"/>
                </w:rPr>
                <w:t xml:space="preserve">SQLite</w:t>
              </w:r>
            </w:hyperlink>
            <w:r w:rsidDel="00000000" w:rsidR="00000000" w:rsidRPr="00000000">
              <w:rPr>
                <w:rtl w:val="0"/>
              </w:rPr>
            </w:r>
          </w:p>
        </w:tc>
        <w:tc>
          <w:tcPr>
            <w:vAlign w:val="center"/>
          </w:tcPr>
          <w:p w:rsidR="00000000" w:rsidDel="00000000" w:rsidP="00000000" w:rsidRDefault="00000000" w:rsidRPr="00000000" w14:paraId="00000145">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Permite almacenar información en dispositivos empotrados de una forma sencilla, eficaz, potente, rápida y en equipos con pocas capacidades de hardware, como puede ser una PDA o un teléfono celular. SQLite implementa el estándar SQL92 y también agrega extensiones que facilitan su uso en cualquier ambiente de desarrollo. Esto permite que SQLite soporte desde las consultas más básicas hasta las más complejas del lenguaje SQL, y lo más importante es que se puede usar tanto en dispositivos móviles como en sistemas de escritorio, sin necesidad de realizar procesos complejos de importación y exportación de datos, ya que existe compatibilidad al 100% entre las diversas plataformas disponibles, haciendo que la portabilidad entre dispositivos y plataformas sea transparente.</w:t>
            </w:r>
          </w:p>
          <w:p w:rsidR="00000000" w:rsidDel="00000000" w:rsidP="00000000" w:rsidRDefault="00000000" w:rsidRPr="00000000" w14:paraId="00000146">
            <w:pPr>
              <w:numPr>
                <w:ilvl w:val="0"/>
                <w:numId w:val="3"/>
              </w:numPr>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La base de datos completa se encuentra en un solo archivo.</w:t>
            </w:r>
          </w:p>
          <w:p w:rsidR="00000000" w:rsidDel="00000000" w:rsidP="00000000" w:rsidRDefault="00000000" w:rsidRPr="00000000" w14:paraId="00000147">
            <w:pPr>
              <w:numPr>
                <w:ilvl w:val="0"/>
                <w:numId w:val="3"/>
              </w:numPr>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Puede funcionar enteramente en memoria, lo que la hace muy rápida.</w:t>
            </w:r>
          </w:p>
          <w:p w:rsidR="00000000" w:rsidDel="00000000" w:rsidP="00000000" w:rsidRDefault="00000000" w:rsidRPr="00000000" w14:paraId="00000148">
            <w:pPr>
              <w:numPr>
                <w:ilvl w:val="0"/>
                <w:numId w:val="3"/>
              </w:numPr>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Tiene un footprint menor a 230KB.</w:t>
            </w:r>
          </w:p>
          <w:p w:rsidR="00000000" w:rsidDel="00000000" w:rsidP="00000000" w:rsidRDefault="00000000" w:rsidRPr="00000000" w14:paraId="00000149">
            <w:pPr>
              <w:numPr>
                <w:ilvl w:val="0"/>
                <w:numId w:val="3"/>
              </w:numPr>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Es totalmente autocontenida (sin dependencias externas).</w:t>
            </w:r>
          </w:p>
          <w:p w:rsidR="00000000" w:rsidDel="00000000" w:rsidP="00000000" w:rsidRDefault="00000000" w:rsidRPr="00000000" w14:paraId="0000014A">
            <w:pPr>
              <w:numPr>
                <w:ilvl w:val="0"/>
                <w:numId w:val="3"/>
              </w:numPr>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Cuenta con librerías de acceso para muchos lenguajes de programación.</w:t>
            </w:r>
          </w:p>
          <w:p w:rsidR="00000000" w:rsidDel="00000000" w:rsidP="00000000" w:rsidRDefault="00000000" w:rsidRPr="00000000" w14:paraId="0000014B">
            <w:pPr>
              <w:numPr>
                <w:ilvl w:val="0"/>
                <w:numId w:val="3"/>
              </w:numPr>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Soporta texto en formato UTF-8 y UTF-16, así como datos numéricos de 64 bits.</w:t>
            </w:r>
          </w:p>
          <w:p w:rsidR="00000000" w:rsidDel="00000000" w:rsidP="00000000" w:rsidRDefault="00000000" w:rsidRPr="00000000" w14:paraId="0000014C">
            <w:pPr>
              <w:numPr>
                <w:ilvl w:val="0"/>
                <w:numId w:val="3"/>
              </w:numPr>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Soporta funciones SQL definidas por el usuario (UDF).</w:t>
            </w:r>
          </w:p>
          <w:p w:rsidR="00000000" w:rsidDel="00000000" w:rsidP="00000000" w:rsidRDefault="00000000" w:rsidRPr="00000000" w14:paraId="0000014D">
            <w:pPr>
              <w:numPr>
                <w:ilvl w:val="0"/>
                <w:numId w:val="3"/>
              </w:numPr>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El código fuente es de dominio público y se encuentra muy bien documentado.</w:t>
            </w:r>
          </w:p>
          <w:p w:rsidR="00000000" w:rsidDel="00000000" w:rsidP="00000000" w:rsidRDefault="00000000" w:rsidRPr="00000000" w14:paraId="0000014E">
            <w:pPr>
              <w:ind w:left="0" w:firstLine="0"/>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sz w:val="20"/>
                <w:szCs w:val="20"/>
                <w:rtl w:val="0"/>
              </w:rPr>
              <w:t xml:space="preserve">Libre</w:t>
            </w:r>
            <w:r w:rsidDel="00000000" w:rsidR="00000000" w:rsidRPr="00000000">
              <w:rPr>
                <w:rtl w:val="0"/>
              </w:rPr>
            </w:r>
          </w:p>
        </w:tc>
        <w:tc>
          <w:tcPr>
            <w:vAlign w:val="center"/>
          </w:tcPr>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sz w:val="20"/>
                <w:szCs w:val="20"/>
              </w:rPr>
              <w:drawing>
                <wp:inline distB="114300" distT="114300" distL="114300" distR="114300">
                  <wp:extent cx="1485900" cy="698500"/>
                  <wp:effectExtent b="0" l="0" r="0" t="0"/>
                  <wp:docPr id="6"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1485900" cy="698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ectPr>
      <w:headerReference r:id="rId33" w:type="default"/>
      <w:pgSz w:h="11906" w:w="16838" w:orient="landscape"/>
      <w:pgMar w:bottom="1134" w:top="1274" w:left="1417" w:right="1417" w:header="426"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jc w:val="center"/>
      <w:rPr/>
    </w:pPr>
    <w:r w:rsidDel="00000000" w:rsidR="00000000" w:rsidRPr="00000000">
      <w:rPr/>
      <w:drawing>
        <wp:inline distB="114300" distT="114300" distL="114300" distR="114300">
          <wp:extent cx="5639076" cy="641074"/>
          <wp:effectExtent b="0" l="0" r="0" t="0"/>
          <wp:docPr id="9"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5639076" cy="641074"/>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425.1968503937013"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mongodb.com/" TargetMode="External"/><Relationship Id="rId22" Type="http://schemas.openxmlformats.org/officeDocument/2006/relationships/hyperlink" Target="https://redis.io/" TargetMode="External"/><Relationship Id="rId21" Type="http://schemas.openxmlformats.org/officeDocument/2006/relationships/image" Target="media/image13.png"/><Relationship Id="rId24" Type="http://schemas.openxmlformats.org/officeDocument/2006/relationships/hyperlink" Target="https://www.ibm.com/es-es/db2" TargetMode="External"/><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www.microsoft.com/es-es/microsoft-365/access" TargetMode="External"/><Relationship Id="rId25" Type="http://schemas.openxmlformats.org/officeDocument/2006/relationships/image" Target="media/image2.png"/><Relationship Id="rId28" Type="http://schemas.openxmlformats.org/officeDocument/2006/relationships/hyperlink" Target="https://www.elastic.co/es/what-is/elasticsearch" TargetMode="External"/><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www.manualweb.net/java/" TargetMode="External"/><Relationship Id="rId7" Type="http://schemas.openxmlformats.org/officeDocument/2006/relationships/image" Target="media/image5.png"/><Relationship Id="rId8" Type="http://schemas.openxmlformats.org/officeDocument/2006/relationships/image" Target="media/image6.png"/><Relationship Id="rId31" Type="http://schemas.openxmlformats.org/officeDocument/2006/relationships/hyperlink" Target="https://www.sqlite.org/index.html" TargetMode="External"/><Relationship Id="rId30" Type="http://schemas.openxmlformats.org/officeDocument/2006/relationships/image" Target="media/image17.png"/><Relationship Id="rId11" Type="http://schemas.openxmlformats.org/officeDocument/2006/relationships/image" Target="media/image16.png"/><Relationship Id="rId33" Type="http://schemas.openxmlformats.org/officeDocument/2006/relationships/header" Target="header1.xml"/><Relationship Id="rId10" Type="http://schemas.openxmlformats.org/officeDocument/2006/relationships/image" Target="media/image3.png"/><Relationship Id="rId32" Type="http://schemas.openxmlformats.org/officeDocument/2006/relationships/image" Target="media/image12.png"/><Relationship Id="rId13" Type="http://schemas.openxmlformats.org/officeDocument/2006/relationships/image" Target="media/image10.png"/><Relationship Id="rId12" Type="http://schemas.openxmlformats.org/officeDocument/2006/relationships/hyperlink" Target="https://www.oracle.com/es/" TargetMode="External"/><Relationship Id="rId15" Type="http://schemas.openxmlformats.org/officeDocument/2006/relationships/image" Target="media/image1.png"/><Relationship Id="rId14" Type="http://schemas.openxmlformats.org/officeDocument/2006/relationships/hyperlink" Target="https://www.mysql.com/" TargetMode="External"/><Relationship Id="rId17" Type="http://schemas.openxmlformats.org/officeDocument/2006/relationships/image" Target="media/image7.png"/><Relationship Id="rId16" Type="http://schemas.openxmlformats.org/officeDocument/2006/relationships/hyperlink" Target="https://www.microsoft.com/es-es/sql-server/sql-server-downloads" TargetMode="External"/><Relationship Id="rId19" Type="http://schemas.openxmlformats.org/officeDocument/2006/relationships/image" Target="media/image15.png"/><Relationship Id="rId18" Type="http://schemas.openxmlformats.org/officeDocument/2006/relationships/hyperlink" Target="https://www.postgresql.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