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EJERCICIOS TEMA EL SALARIO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line="240" w:lineRule="auto"/>
        <w:ind w:left="1068" w:hanging="360"/>
        <w:jc w:val="both"/>
      </w:pPr>
      <w:r w:rsidDel="00000000" w:rsidR="00000000" w:rsidRPr="00000000">
        <w:rPr>
          <w:rtl w:val="0"/>
        </w:rPr>
        <w:t xml:space="preserve">En el cálculo de la Base por Contingencias Comunes no se incluyen….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line="240" w:lineRule="auto"/>
        <w:ind w:left="1788" w:hanging="360"/>
        <w:jc w:val="both"/>
      </w:pPr>
      <w:r w:rsidDel="00000000" w:rsidR="00000000" w:rsidRPr="00000000">
        <w:rPr>
          <w:rtl w:val="0"/>
        </w:rPr>
        <w:t xml:space="preserve">Las percepciones salariales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line="240" w:lineRule="auto"/>
        <w:ind w:left="1788" w:hanging="360"/>
        <w:jc w:val="both"/>
      </w:pPr>
      <w:r w:rsidDel="00000000" w:rsidR="00000000" w:rsidRPr="00000000">
        <w:rPr>
          <w:rtl w:val="0"/>
        </w:rPr>
        <w:t xml:space="preserve">La prorrata de las pagas extraordinarias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line="240" w:lineRule="auto"/>
        <w:ind w:left="1788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Las horas extraordinarias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line="240" w:lineRule="auto"/>
        <w:ind w:left="1788" w:hanging="360"/>
        <w:jc w:val="both"/>
      </w:pPr>
      <w:r w:rsidDel="00000000" w:rsidR="00000000" w:rsidRPr="00000000">
        <w:rPr>
          <w:rtl w:val="0"/>
        </w:rPr>
        <w:t xml:space="preserve">Los productos en especie</w:t>
      </w:r>
    </w:p>
    <w:p w:rsidR="00000000" w:rsidDel="00000000" w:rsidP="00000000" w:rsidRDefault="00000000" w:rsidRPr="00000000" w14:paraId="00000007">
      <w:pPr>
        <w:spacing w:after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40" w:lineRule="auto"/>
        <w:ind w:left="1068" w:hanging="360"/>
        <w:jc w:val="both"/>
      </w:pPr>
      <w:r w:rsidDel="00000000" w:rsidR="00000000" w:rsidRPr="00000000">
        <w:rPr>
          <w:rtl w:val="0"/>
        </w:rPr>
        <w:t xml:space="preserve">La Base por Contingencias Profesionales….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line="240" w:lineRule="auto"/>
        <w:ind w:left="1788" w:hanging="360"/>
        <w:jc w:val="both"/>
      </w:pPr>
      <w:r w:rsidDel="00000000" w:rsidR="00000000" w:rsidRPr="00000000">
        <w:rPr>
          <w:rtl w:val="0"/>
        </w:rPr>
        <w:t xml:space="preserve">Es la misma que la base por contingencias comunes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line="240" w:lineRule="auto"/>
        <w:ind w:left="1788" w:hanging="360"/>
        <w:jc w:val="both"/>
      </w:pPr>
      <w:r w:rsidDel="00000000" w:rsidR="00000000" w:rsidRPr="00000000">
        <w:rPr>
          <w:rtl w:val="0"/>
        </w:rPr>
        <w:t xml:space="preserve">Es la base por contingencias comunes más las pagas extraordinarias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line="240" w:lineRule="auto"/>
        <w:ind w:left="1788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 la base por contingencias comunes más las horas extraordinarias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line="240" w:lineRule="auto"/>
        <w:ind w:left="1788" w:hanging="360"/>
        <w:jc w:val="both"/>
      </w:pPr>
      <w:r w:rsidDel="00000000" w:rsidR="00000000" w:rsidRPr="00000000">
        <w:rPr>
          <w:rtl w:val="0"/>
        </w:rPr>
        <w:t xml:space="preserve">Nunca es igual que la base por contingencias comunes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1068" w:hanging="360"/>
        <w:jc w:val="both"/>
      </w:pPr>
      <w:r w:rsidDel="00000000" w:rsidR="00000000" w:rsidRPr="00000000">
        <w:rPr>
          <w:rtl w:val="0"/>
        </w:rPr>
        <w:t xml:space="preserve">El tipo de cotización por desempleo…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line="240" w:lineRule="auto"/>
        <w:ind w:left="1788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 el mismo para todos los tipos de contratos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line="240" w:lineRule="auto"/>
        <w:ind w:left="1788" w:hanging="360"/>
        <w:jc w:val="both"/>
      </w:pPr>
      <w:r w:rsidDel="00000000" w:rsidR="00000000" w:rsidRPr="00000000">
        <w:rPr>
          <w:rtl w:val="0"/>
        </w:rPr>
        <w:t xml:space="preserve">Es mayor para los contratos de duración determinada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line="240" w:lineRule="auto"/>
        <w:ind w:left="1788" w:hanging="360"/>
        <w:jc w:val="both"/>
      </w:pPr>
      <w:r w:rsidDel="00000000" w:rsidR="00000000" w:rsidRPr="00000000">
        <w:rPr>
          <w:rtl w:val="0"/>
        </w:rPr>
        <w:t xml:space="preserve">Es el mismo que por contingencias comunes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line="240" w:lineRule="auto"/>
        <w:ind w:left="1788" w:hanging="360"/>
        <w:jc w:val="both"/>
      </w:pPr>
      <w:r w:rsidDel="00000000" w:rsidR="00000000" w:rsidRPr="00000000">
        <w:rPr>
          <w:rtl w:val="0"/>
        </w:rPr>
        <w:t xml:space="preserve">Es mismo que para el FOGASA</w:t>
      </w:r>
    </w:p>
    <w:p w:rsidR="00000000" w:rsidDel="00000000" w:rsidP="00000000" w:rsidRDefault="00000000" w:rsidRPr="00000000" w14:paraId="00000013">
      <w:pPr>
        <w:spacing w:after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1068" w:hanging="360"/>
        <w:jc w:val="both"/>
      </w:pPr>
      <w:r w:rsidDel="00000000" w:rsidR="00000000" w:rsidRPr="00000000">
        <w:rPr>
          <w:rtl w:val="0"/>
        </w:rPr>
        <w:t xml:space="preserve">Si la Base de cotización que se ha calculado es superior al máximo establecido para el grupo de cotización….</w:t>
        <w:tab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line="240" w:lineRule="auto"/>
        <w:ind w:left="1788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 cotiza por la base del grupo superior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line="240" w:lineRule="auto"/>
        <w:ind w:left="1788" w:hanging="360"/>
        <w:jc w:val="both"/>
      </w:pPr>
      <w:r w:rsidDel="00000000" w:rsidR="00000000" w:rsidRPr="00000000">
        <w:rPr>
          <w:rtl w:val="0"/>
        </w:rPr>
        <w:t xml:space="preserve">Se cotiza por la base máxima del grupo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line="240" w:lineRule="auto"/>
        <w:ind w:left="1788" w:hanging="360"/>
        <w:jc w:val="both"/>
      </w:pPr>
      <w:r w:rsidDel="00000000" w:rsidR="00000000" w:rsidRPr="00000000">
        <w:rPr>
          <w:rtl w:val="0"/>
        </w:rPr>
        <w:t xml:space="preserve">Se aplican tipos incrementados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line="240" w:lineRule="auto"/>
        <w:ind w:left="1788" w:hanging="360"/>
        <w:jc w:val="both"/>
      </w:pPr>
      <w:r w:rsidDel="00000000" w:rsidR="00000000" w:rsidRPr="00000000">
        <w:rPr>
          <w:rtl w:val="0"/>
        </w:rPr>
        <w:t xml:space="preserve">Se cotiza por la base calculada</w:t>
      </w:r>
    </w:p>
    <w:p w:rsidR="00000000" w:rsidDel="00000000" w:rsidP="00000000" w:rsidRDefault="00000000" w:rsidRPr="00000000" w14:paraId="00000019">
      <w:pPr>
        <w:spacing w:after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1068" w:hanging="360"/>
        <w:jc w:val="both"/>
      </w:pPr>
      <w:r w:rsidDel="00000000" w:rsidR="00000000" w:rsidRPr="00000000">
        <w:rPr>
          <w:rtl w:val="0"/>
        </w:rPr>
        <w:t xml:space="preserve">La cotización al FOGASA le corresponde…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line="240" w:lineRule="auto"/>
        <w:ind w:left="1788" w:hanging="360"/>
        <w:jc w:val="both"/>
      </w:pPr>
      <w:r w:rsidDel="00000000" w:rsidR="00000000" w:rsidRPr="00000000">
        <w:rPr>
          <w:rtl w:val="0"/>
        </w:rPr>
        <w:t xml:space="preserve">A la persona trabajadora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line="240" w:lineRule="auto"/>
        <w:ind w:left="1788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la empresa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line="240" w:lineRule="auto"/>
        <w:ind w:left="1788" w:hanging="360"/>
        <w:jc w:val="both"/>
      </w:pPr>
      <w:r w:rsidDel="00000000" w:rsidR="00000000" w:rsidRPr="00000000">
        <w:rPr>
          <w:rtl w:val="0"/>
        </w:rPr>
        <w:t xml:space="preserve">A la persona trabajadora y a la empresa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line="240" w:lineRule="auto"/>
        <w:ind w:left="1788" w:hanging="360"/>
        <w:jc w:val="both"/>
      </w:pPr>
      <w:r w:rsidDel="00000000" w:rsidR="00000000" w:rsidRPr="00000000">
        <w:rPr>
          <w:rtl w:val="0"/>
        </w:rPr>
        <w:t xml:space="preserve">A ninguna de ellas</w:t>
      </w:r>
    </w:p>
    <w:p w:rsidR="00000000" w:rsidDel="00000000" w:rsidP="00000000" w:rsidRDefault="00000000" w:rsidRPr="00000000" w14:paraId="0000001F">
      <w:pPr>
        <w:spacing w:after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1068" w:hanging="360"/>
        <w:jc w:val="both"/>
      </w:pPr>
      <w:r w:rsidDel="00000000" w:rsidR="00000000" w:rsidRPr="00000000">
        <w:rPr>
          <w:rtl w:val="0"/>
        </w:rPr>
        <w:t xml:space="preserve">Alicia tiene una antigüedad en la empresa de 16 años y 11 meses. Su salario base es de 1400 € mensuales y le corresponde, según convenio colectivo, un complemento de antigüedad del 2% del salario base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line="240" w:lineRule="auto"/>
        <w:ind w:left="1788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Por trienio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line="240" w:lineRule="auto"/>
        <w:ind w:left="1788" w:hanging="360"/>
        <w:jc w:val="both"/>
      </w:pPr>
      <w:r w:rsidDel="00000000" w:rsidR="00000000" w:rsidRPr="00000000">
        <w:rPr>
          <w:rtl w:val="0"/>
        </w:rPr>
        <w:t xml:space="preserve">Por quinquenio</w:t>
      </w:r>
    </w:p>
    <w:p w:rsidR="00000000" w:rsidDel="00000000" w:rsidP="00000000" w:rsidRDefault="00000000" w:rsidRPr="00000000" w14:paraId="00000023">
      <w:pPr>
        <w:spacing w:after="0" w:line="240" w:lineRule="auto"/>
        <w:ind w:left="1080" w:firstLine="0"/>
        <w:jc w:val="both"/>
        <w:rPr/>
      </w:pPr>
      <w:r w:rsidDel="00000000" w:rsidR="00000000" w:rsidRPr="00000000">
        <w:rPr>
          <w:rtl w:val="0"/>
        </w:rPr>
        <w:t xml:space="preserve">Calcula los trienios y quinquenios y calcula el importe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1068" w:hanging="360"/>
        <w:jc w:val="both"/>
      </w:pPr>
      <w:r w:rsidDel="00000000" w:rsidR="00000000" w:rsidRPr="00000000">
        <w:rPr>
          <w:rtl w:val="0"/>
        </w:rPr>
        <w:t xml:space="preserve">Un trabajador que lleva 17 años en una empresa percibe un salario mensual de 1800 €. Calcula el importe de la antigüedad en los siguientes casos: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line="240" w:lineRule="auto"/>
        <w:ind w:left="1788" w:hanging="360"/>
        <w:jc w:val="both"/>
      </w:pPr>
      <w:r w:rsidDel="00000000" w:rsidR="00000000" w:rsidRPr="00000000">
        <w:rPr>
          <w:rtl w:val="0"/>
        </w:rPr>
        <w:t xml:space="preserve">Percibe bienios retribuidos al 3%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line="240" w:lineRule="auto"/>
        <w:ind w:left="2508" w:hanging="360"/>
        <w:jc w:val="both"/>
      </w:pPr>
      <w:r w:rsidDel="00000000" w:rsidR="00000000" w:rsidRPr="00000000">
        <w:rPr>
          <w:rtl w:val="0"/>
        </w:rPr>
        <w:t xml:space="preserve">8 bienios 1800*0.03*8=432€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line="240" w:lineRule="auto"/>
        <w:ind w:left="1788" w:hanging="360"/>
        <w:jc w:val="both"/>
      </w:pPr>
      <w:r w:rsidDel="00000000" w:rsidR="00000000" w:rsidRPr="00000000">
        <w:rPr>
          <w:rtl w:val="0"/>
        </w:rPr>
        <w:t xml:space="preserve">Percibe sexenios retribuidos al 10€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line="240" w:lineRule="auto"/>
        <w:ind w:left="2508" w:hanging="360"/>
        <w:jc w:val="both"/>
      </w:pPr>
      <w:r w:rsidDel="00000000" w:rsidR="00000000" w:rsidRPr="00000000">
        <w:rPr>
          <w:rtl w:val="0"/>
        </w:rPr>
        <w:t xml:space="preserve">2 sexenios = 1800*0.1*2=360€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="240" w:lineRule="auto"/>
        <w:ind w:left="1068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Un trabajador que ingresa en una empresa el 15 de septiembre de 1997, tiene derecho a percibir un complemento salarial de antigüedad del 3%, sobre el salario mensual, que es de 1.500 €. Calcula el importe del complemento de antigüedad en los siguientes casos: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24 años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Bienios.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12*1500*0.03=540€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Trienios.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8*1500*0.03=360€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quinquenios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2*1500*0.03=90€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Sexenios.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4*1500*0.03=180€</w:t>
      </w:r>
    </w:p>
    <w:p w:rsidR="00000000" w:rsidDel="00000000" w:rsidP="00000000" w:rsidRDefault="00000000" w:rsidRPr="00000000" w14:paraId="00000037">
      <w:pPr>
        <w:spacing w:after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="240" w:lineRule="auto"/>
        <w:ind w:left="1068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Un trabajador recibe el 30 de marzo la nómina relativa al mes de enero. ¿Qué cantidad tendría que abonarle el empresario sabiendo que su salario asciende a 1000,00 euros?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  <w:t xml:space="preserve">(capital*i*dias)/360(1000*0.01*60)/360=16.67€+1000€=1016.67€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240" w:lineRule="auto"/>
        <w:ind w:left="1068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Calcula las Bases de Cotización de una jefa de taller (grupo 3 de cotización) que e el mes de noviembre ha recibido las siguientes retribuciones: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240" w:lineRule="auto"/>
        <w:ind w:left="1068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Salario base: 1200€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240" w:lineRule="auto"/>
        <w:ind w:left="1068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Incentivos: 200 €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1068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Horas extraordinarias: 60 €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240" w:lineRule="auto"/>
        <w:ind w:left="1068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Horas extraordinarias de fuerza mayor: 100 €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40" w:lineRule="auto"/>
        <w:ind w:left="1068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Percibe anualmente dos pagas extras por el importe de 1200 € cada una de ellas</w:t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BCCC=</w:t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REMUNERACIÓN MENSUAL (DEVENGOS SALARIOS EXCEPTO HORAS EXTRAS Y PAGAS EXTRAS) + PRORRATA PAGAS EXTRAORDINARIAS</w:t>
      </w: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1200€ +200€ 2400/12=1200+200+200=1600€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BCCP=BCCC+HORAS EXTRAS= </w:t>
      </w:r>
      <w:r w:rsidDel="00000000" w:rsidR="00000000" w:rsidRPr="00000000">
        <w:rPr>
          <w:rtl w:val="0"/>
        </w:rPr>
        <w:t xml:space="preserve">1600+160= 1760€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="240" w:lineRule="auto"/>
        <w:ind w:left="1068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Calcula las bases de cotización de un trabajador que desempeña el puesto de auxiliar administrativo (grupo 7 de cotización) y recibe las siguientes retribuciones: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="240" w:lineRule="auto"/>
        <w:ind w:left="1068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Salario base: 1300 €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="240" w:lineRule="auto"/>
        <w:ind w:left="1068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Plus de actividad: 120 €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240" w:lineRule="auto"/>
        <w:ind w:left="1068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Horas extraordinarias: 150 €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240" w:lineRule="auto"/>
        <w:ind w:left="1068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Horas extraordinarias por fuerza mayor: 200 €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240" w:lineRule="auto"/>
        <w:ind w:left="1068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El empleado recibe anualmente dos pagas extraordinarias cada una de las cuales tiene un importe igual al salario base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BCCC= 1300+120+(1300+1300)/12=1636,7€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BCCP=1636,7+150+200=1986,7€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line="240" w:lineRule="auto"/>
        <w:ind w:left="1068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Realiza la nómina del mes de diciembre de un trabajador cuyas retribuciones según convenio colectivo son: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="240" w:lineRule="auto"/>
        <w:ind w:left="1068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Sueldo base: 1.000,00 €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240" w:lineRule="auto"/>
        <w:ind w:left="1068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Plus de transporte 50 €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240" w:lineRule="auto"/>
        <w:ind w:left="1068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Plus actividad: 100 €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="240" w:lineRule="auto"/>
        <w:ind w:left="1068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Horas extras por exceso de trabajo 150 €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line="240" w:lineRule="auto"/>
        <w:ind w:left="1068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Anualmente recibe dos pagas extras cada una igual al sueldo base.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240" w:lineRule="auto"/>
        <w:ind w:left="1068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Retención a cuenta del IRPF: 18%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firstLine="72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13. Confecciona el recibo de salarios del mes de diciembre de un trabajador (técnico</w:t>
      </w:r>
    </w:p>
    <w:p w:rsidR="00000000" w:rsidDel="00000000" w:rsidP="00000000" w:rsidRDefault="00000000" w:rsidRPr="00000000" w14:paraId="00000056">
      <w:pPr>
        <w:spacing w:after="0" w:line="240" w:lineRule="auto"/>
        <w:ind w:firstLine="72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informático) que lleva 5 años trabajando en la empresa sabiendo que sus retribuciones</w:t>
      </w:r>
    </w:p>
    <w:p w:rsidR="00000000" w:rsidDel="00000000" w:rsidP="00000000" w:rsidRDefault="00000000" w:rsidRPr="00000000" w14:paraId="00000057">
      <w:pPr>
        <w:spacing w:after="0" w:line="240" w:lineRule="auto"/>
        <w:ind w:firstLine="72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son: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Salario base: 1100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Incentivo: 70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Antigüedad 5% del salario base por cada trienio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Anualmente tiene derecho a percibir dos pagas extraordinarias cada una de ellas de un importe igual al salario base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Tiene un contrato indefinido a tiempo completo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IRPF: 10%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TABLAS PARA CÁLCULO NÓMINA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15.0" w:type="dxa"/>
        <w:jc w:val="left"/>
        <w:tblInd w:w="-142.0" w:type="dxa"/>
        <w:tbl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H w:color="5b9bd5" w:space="0" w:sz="8" w:val="single"/>
          <w:insideV w:color="5b9bd5" w:space="0" w:sz="8" w:val="single"/>
        </w:tblBorders>
        <w:tblLayout w:type="fixed"/>
        <w:tblLook w:val="0400"/>
      </w:tblPr>
      <w:tblGrid>
        <w:gridCol w:w="6050"/>
        <w:gridCol w:w="1772"/>
        <w:gridCol w:w="2293"/>
        <w:tblGridChange w:id="0">
          <w:tblGrid>
            <w:gridCol w:w="6050"/>
            <w:gridCol w:w="1772"/>
            <w:gridCol w:w="2293"/>
          </w:tblGrid>
        </w:tblGridChange>
      </w:tblGrid>
      <w:tr>
        <w:trPr>
          <w:cantSplit w:val="0"/>
          <w:trHeight w:val="1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Cotizaciones a la S.S.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% trabajador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% empresa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Contingencias Comunes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4,7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23,6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Desempleo contratos en general</w:t>
            </w:r>
          </w:p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Desempleo contratos duración determinada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1,55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5,5</w:t>
            </w:r>
          </w:p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6.70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Formación profesional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0,6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Hora extraordinarias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4,7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23,6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Horas extraordinarias de fuerza mayor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FOGASA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0,2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0,8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0,7</w:t>
            </w:r>
          </w:p>
        </w:tc>
      </w:tr>
    </w:tbl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276" w:left="1418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as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217.0" w:type="dxa"/>
      <w:jc w:val="left"/>
      <w:tblInd w:w="-709.0" w:type="dxa"/>
      <w:tblBorders>
        <w:top w:color="333c7f" w:space="0" w:sz="8" w:val="single"/>
        <w:left w:color="333c7f" w:space="0" w:sz="8" w:val="single"/>
        <w:bottom w:color="333c7f" w:space="0" w:sz="24" w:val="single"/>
        <w:right w:color="333c7f" w:space="0" w:sz="8" w:val="single"/>
        <w:insideH w:color="5b9bd5" w:space="0" w:sz="8" w:val="single"/>
        <w:insideV w:color="333c7f" w:space="0" w:sz="8" w:val="single"/>
      </w:tblBorders>
      <w:tblLayout w:type="fixed"/>
      <w:tblLook w:val="04A0"/>
    </w:tblPr>
    <w:tblGrid>
      <w:gridCol w:w="2358"/>
      <w:gridCol w:w="3100"/>
      <w:gridCol w:w="2402"/>
      <w:gridCol w:w="2357"/>
      <w:tblGridChange w:id="0">
        <w:tblGrid>
          <w:gridCol w:w="2358"/>
          <w:gridCol w:w="3100"/>
          <w:gridCol w:w="2402"/>
          <w:gridCol w:w="2357"/>
        </w:tblGrid>
      </w:tblGridChange>
    </w:tblGrid>
    <w:tr>
      <w:trPr>
        <w:cantSplit w:val="0"/>
        <w:trHeight w:val="651" w:hRule="atLeast"/>
        <w:tblHeader w:val="0"/>
      </w:trPr>
      <w:tc>
        <w:tcPr>
          <w:vMerge w:val="restart"/>
          <w:tcBorders>
            <w:top w:color="2f2d91" w:space="0" w:sz="8" w:val="single"/>
            <w:left w:color="2f2d91" w:space="0" w:sz="8" w:val="single"/>
            <w:right w:color="2f2d91" w:space="0" w:sz="8" w:val="single"/>
          </w:tcBorders>
        </w:tcPr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-41274</wp:posOffset>
                </wp:positionH>
                <wp:positionV relativeFrom="paragraph">
                  <wp:posOffset>186055</wp:posOffset>
                </wp:positionV>
                <wp:extent cx="1555115" cy="47879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115" cy="478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2f2d91" w:space="0" w:sz="8" w:val="single"/>
            <w:left w:color="2f2d91" w:space="0" w:sz="8" w:val="single"/>
            <w:bottom w:color="2f2d91" w:space="0" w:sz="4" w:val="single"/>
            <w:right w:color="2f2d91" w:space="0" w:sz="4" w:val="single"/>
          </w:tcBorders>
          <w:vAlign w:val="center"/>
        </w:tcPr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F.O.L.</w:t>
          </w:r>
        </w:p>
      </w:tc>
      <w:tc>
        <w:tcPr>
          <w:tcBorders>
            <w:top w:color="2f2d91" w:space="0" w:sz="8" w:val="single"/>
            <w:left w:color="2f2d91" w:space="0" w:sz="8" w:val="single"/>
            <w:bottom w:color="2f2d91" w:space="0" w:sz="4" w:val="single"/>
            <w:right w:color="2f2d91" w:space="0" w:sz="4" w:val="single"/>
          </w:tcBorders>
          <w:vAlign w:val="center"/>
        </w:tcPr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2021/2022  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2f2d91" w:space="0" w:sz="8" w:val="single"/>
            <w:left w:color="2f2d91" w:space="0" w:sz="4" w:val="single"/>
            <w:right w:color="2f2d91" w:space="0" w:sz="18" w:val="single"/>
          </w:tcBorders>
        </w:tcPr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16207</wp:posOffset>
                </wp:positionH>
                <wp:positionV relativeFrom="paragraph">
                  <wp:posOffset>71755</wp:posOffset>
                </wp:positionV>
                <wp:extent cx="1577257" cy="69971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7257" cy="699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>
      <w:trPr>
        <w:cantSplit w:val="0"/>
        <w:trHeight w:val="633" w:hRule="atLeast"/>
        <w:tblHeader w:val="0"/>
      </w:trPr>
      <w:tc>
        <w:tcPr>
          <w:vMerge w:val="continue"/>
          <w:tcBorders>
            <w:top w:color="2f2d91" w:space="0" w:sz="8" w:val="single"/>
            <w:left w:color="2f2d91" w:space="0" w:sz="8" w:val="single"/>
            <w:right w:color="2f2d91" w:space="0" w:sz="8" w:val="single"/>
          </w:tcBorders>
        </w:tcPr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2f2d91" w:space="0" w:sz="4" w:val="single"/>
            <w:left w:color="2f2d91" w:space="0" w:sz="8" w:val="single"/>
            <w:bottom w:color="2f2d91" w:space="0" w:sz="18" w:val="single"/>
            <w:right w:color="2f2d91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NOMBRE: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2f2d91" w:space="0" w:sz="8" w:val="single"/>
            <w:left w:color="2f2d91" w:space="0" w:sz="4" w:val="single"/>
            <w:right w:color="2f2d91" w:space="0" w:sz="18" w:val="single"/>
          </w:tcBorders>
        </w:tcPr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46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rFonts w:ascii="Rasa" w:cs="Rasa" w:eastAsia="Rasa" w:hAnsi="Rasa"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  <w:shd w:fill="d6e6f4" w:val="clear"/>
      </w:tcPr>
    </w:tblStylePr>
    <w:tblStylePr w:type="band1Vert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  <w:shd w:fill="d6e6f4" w:val="clear"/>
      </w:tcPr>
    </w:tblStylePr>
    <w:tblStylePr w:type="band2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1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6" w:val="single"/>
          <w:left w:color="5b9bd5" w:space="0" w:sz="8" w:val="single"/>
          <w:bottom w:color="5b9bd5" w:space="0" w:sz="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asa-regular.ttf"/><Relationship Id="rId4" Type="http://schemas.openxmlformats.org/officeDocument/2006/relationships/font" Target="fonts/Rasa-bold.ttf"/><Relationship Id="rId5" Type="http://schemas.openxmlformats.org/officeDocument/2006/relationships/font" Target="fonts/Rasa-italic.ttf"/><Relationship Id="rId6" Type="http://schemas.openxmlformats.org/officeDocument/2006/relationships/font" Target="fonts/Ras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