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Caso 3</w:t>
      </w:r>
    </w:p>
    <w:p w:rsidR="00000000" w:rsidDel="00000000" w:rsidP="00000000" w:rsidRDefault="00000000" w:rsidRPr="00000000" w14:paraId="00000002">
      <w:pPr>
        <w:jc w:val="right"/>
        <w:rPr>
          <w:b w:val="1"/>
          <w:sz w:val="32"/>
          <w:szCs w:val="32"/>
        </w:rPr>
      </w:pPr>
      <w:r w:rsidDel="00000000" w:rsidR="00000000" w:rsidRPr="00000000">
        <w:rPr>
          <w:sz w:val="24"/>
          <w:szCs w:val="24"/>
        </w:rPr>
        <w:drawing>
          <wp:inline distB="0" distT="0" distL="0" distR="0">
            <wp:extent cx="2134982" cy="1120823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34982" cy="11208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SMR, S.A. 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Calle del Cable, 21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28000 Madrid</w:t>
      </w:r>
    </w:p>
    <w:p w:rsidR="00000000" w:rsidDel="00000000" w:rsidP="00000000" w:rsidRDefault="00000000" w:rsidRPr="00000000" w14:paraId="00000006">
      <w:pPr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Madrid a 7 de febrero de 2022</w:t>
      </w:r>
    </w:p>
    <w:p w:rsidR="00000000" w:rsidDel="00000000" w:rsidP="00000000" w:rsidRDefault="00000000" w:rsidRPr="00000000" w14:paraId="00000007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Estimado Señor,</w:t>
      </w:r>
    </w:p>
    <w:p w:rsidR="00000000" w:rsidDel="00000000" w:rsidP="00000000" w:rsidRDefault="00000000" w:rsidRPr="00000000" w14:paraId="00000008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Por la presente le comunicamos que el martes 8 de marzo debe incorporarse a trabajar en nuestras oficinas de Polonia para cubrir un puesto de técnico en sistemas en el departamento de IT de forma permanente.</w:t>
      </w:r>
    </w:p>
    <w:p w:rsidR="00000000" w:rsidDel="00000000" w:rsidP="00000000" w:rsidRDefault="00000000" w:rsidRPr="00000000" w14:paraId="00000009">
      <w:pPr>
        <w:spacing w:line="360" w:lineRule="auto"/>
        <w:jc w:val="both"/>
        <w:rPr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sz w:val="24"/>
          <w:szCs w:val="24"/>
          <w:rtl w:val="0"/>
        </w:rPr>
        <w:t xml:space="preserve">Ruego firme duplicado del presente aviso a efectos de notificación.</w:t>
      </w:r>
    </w:p>
    <w:p w:rsidR="00000000" w:rsidDel="00000000" w:rsidP="00000000" w:rsidRDefault="00000000" w:rsidRPr="00000000" w14:paraId="0000000A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Atentamente: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0" distT="0" distL="0" distR="0">
            <wp:extent cx="1134865" cy="96658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34865" cy="9665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Lucas Martín,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Director de RRHH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trata de un traslado, este tiene que ir precedido de un periodo de consultas con los representantes de los trabajadores. Una vez finalizado el período de consultas, el empresario comunicará a los trabajadores su decisión definitiva, que ha de responder a razones técnicas, organizativas o de producción. Una vez recibida la notificación, el empleado podrá optar por: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Aceptar el traslado, en cuyo caso se fijará la fecha de incorporación, no inferior a 30 días. Recibirá una compensación para gastos, que incluirá los de su familia.</w:t>
      </w:r>
    </w:p>
    <w:p w:rsidR="00000000" w:rsidDel="00000000" w:rsidP="00000000" w:rsidRDefault="00000000" w:rsidRPr="00000000" w14:paraId="00000014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No aceptar el traslado: el empleado rescindirá su contrato y percibirá una indemnización de 20 días de salario por año de servicio, prorrateándose por meses los períodos inferiores al año, con un máximo de 12 mensualidades.</w:t>
      </w:r>
    </w:p>
    <w:sectPr>
      <w:headerReference r:id="rId8" w:type="default"/>
      <w:pgSz w:h="16838" w:w="11906" w:orient="portrait"/>
      <w:pgMar w:bottom="1417" w:top="1276" w:left="1418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6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1"/>
      <w:tblW w:w="10217.0" w:type="dxa"/>
      <w:jc w:val="left"/>
      <w:tblInd w:w="-709.0" w:type="dxa"/>
      <w:tblBorders>
        <w:top w:color="333c7f" w:space="0" w:sz="8" w:val="single"/>
        <w:left w:color="333c7f" w:space="0" w:sz="8" w:val="single"/>
        <w:bottom w:color="333c7f" w:space="0" w:sz="24" w:val="single"/>
        <w:right w:color="333c7f" w:space="0" w:sz="8" w:val="single"/>
        <w:insideH w:color="5b9bd5" w:space="0" w:sz="8" w:val="single"/>
        <w:insideV w:color="333c7f" w:space="0" w:sz="8" w:val="single"/>
      </w:tblBorders>
      <w:tblLayout w:type="fixed"/>
      <w:tblLook w:val="04A0"/>
    </w:tblPr>
    <w:tblGrid>
      <w:gridCol w:w="2358"/>
      <w:gridCol w:w="3100"/>
      <w:gridCol w:w="2402"/>
      <w:gridCol w:w="2357"/>
      <w:tblGridChange w:id="0">
        <w:tblGrid>
          <w:gridCol w:w="2358"/>
          <w:gridCol w:w="3100"/>
          <w:gridCol w:w="2402"/>
          <w:gridCol w:w="2357"/>
        </w:tblGrid>
      </w:tblGridChange>
    </w:tblGrid>
    <w:tr>
      <w:trPr>
        <w:cantSplit w:val="0"/>
        <w:trHeight w:val="651" w:hRule="atLeast"/>
        <w:tblHeader w:val="0"/>
      </w:trPr>
      <w:tc>
        <w:tcPr>
          <w:vMerge w:val="restart"/>
          <w:tcBorders>
            <w:top w:color="2f2d91" w:space="0" w:sz="8" w:val="single"/>
            <w:left w:color="2f2d91" w:space="0" w:sz="8" w:val="single"/>
            <w:right w:color="2f2d91" w:space="0" w:sz="8" w:val="single"/>
          </w:tcBorders>
        </w:tcPr>
        <w:p w:rsidR="00000000" w:rsidDel="00000000" w:rsidP="00000000" w:rsidRDefault="00000000" w:rsidRPr="00000000" w14:paraId="0000001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-41274</wp:posOffset>
                </wp:positionH>
                <wp:positionV relativeFrom="paragraph">
                  <wp:posOffset>186055</wp:posOffset>
                </wp:positionV>
                <wp:extent cx="1555115" cy="478790"/>
                <wp:effectExtent b="0" l="0" r="0" t="0"/>
                <wp:wrapTopAndBottom distB="0" dist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55115" cy="4787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tcBorders>
            <w:top w:color="2f2d91" w:space="0" w:sz="8" w:val="single"/>
            <w:left w:color="2f2d91" w:space="0" w:sz="8" w:val="single"/>
            <w:bottom w:color="2f2d91" w:space="0" w:sz="4" w:val="single"/>
            <w:right w:color="2f2d91" w:space="0" w:sz="4" w:val="single"/>
          </w:tcBorders>
          <w:vAlign w:val="center"/>
        </w:tcPr>
        <w:p w:rsidR="00000000" w:rsidDel="00000000" w:rsidP="00000000" w:rsidRDefault="00000000" w:rsidRPr="00000000" w14:paraId="0000001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f2d91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f2d91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F.O.L.</w:t>
          </w:r>
        </w:p>
      </w:tc>
      <w:tc>
        <w:tcPr>
          <w:tcBorders>
            <w:top w:color="2f2d91" w:space="0" w:sz="8" w:val="single"/>
            <w:left w:color="2f2d91" w:space="0" w:sz="8" w:val="single"/>
            <w:bottom w:color="2f2d91" w:space="0" w:sz="4" w:val="single"/>
            <w:right w:color="2f2d91" w:space="0" w:sz="4" w:val="single"/>
          </w:tcBorders>
          <w:vAlign w:val="center"/>
        </w:tcPr>
        <w:p w:rsidR="00000000" w:rsidDel="00000000" w:rsidP="00000000" w:rsidRDefault="00000000" w:rsidRPr="00000000" w14:paraId="0000001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f2d91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f2d91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SMR</w:t>
          </w:r>
        </w:p>
        <w:p w:rsidR="00000000" w:rsidDel="00000000" w:rsidP="00000000" w:rsidRDefault="00000000" w:rsidRPr="00000000" w14:paraId="0000001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f2d91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2021/2022  </w:t>
          </w:r>
          <w:r w:rsidDel="00000000" w:rsidR="00000000" w:rsidRPr="00000000">
            <w:rPr>
              <w:rtl w:val="0"/>
            </w:rPr>
          </w:r>
        </w:p>
      </w:tc>
      <w:tc>
        <w:tcPr>
          <w:vMerge w:val="restart"/>
          <w:tcBorders>
            <w:top w:color="2f2d91" w:space="0" w:sz="8" w:val="single"/>
            <w:left w:color="2f2d91" w:space="0" w:sz="4" w:val="single"/>
            <w:right w:color="2f2d91" w:space="0" w:sz="18" w:val="single"/>
          </w:tcBorders>
        </w:tcPr>
        <w:p w:rsidR="00000000" w:rsidDel="00000000" w:rsidP="00000000" w:rsidRDefault="00000000" w:rsidRPr="00000000" w14:paraId="0000001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16207</wp:posOffset>
                </wp:positionH>
                <wp:positionV relativeFrom="paragraph">
                  <wp:posOffset>71755</wp:posOffset>
                </wp:positionV>
                <wp:extent cx="1577257" cy="699715"/>
                <wp:effectExtent b="0" l="0" r="0" t="0"/>
                <wp:wrapTopAndBottom distB="0" distT="0"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77257" cy="69971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</w:tc>
    </w:tr>
    <w:tr>
      <w:trPr>
        <w:cantSplit w:val="0"/>
        <w:trHeight w:val="633" w:hRule="atLeast"/>
        <w:tblHeader w:val="0"/>
      </w:trPr>
      <w:tc>
        <w:tcPr>
          <w:vMerge w:val="continue"/>
          <w:tcBorders>
            <w:top w:color="2f2d91" w:space="0" w:sz="8" w:val="single"/>
            <w:left w:color="2f2d91" w:space="0" w:sz="8" w:val="single"/>
            <w:right w:color="2f2d91" w:space="0" w:sz="8" w:val="single"/>
          </w:tcBorders>
        </w:tcPr>
        <w:p w:rsidR="00000000" w:rsidDel="00000000" w:rsidP="00000000" w:rsidRDefault="00000000" w:rsidRPr="00000000" w14:paraId="0000001C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gridSpan w:val="2"/>
          <w:tcBorders>
            <w:top w:color="2f2d91" w:space="0" w:sz="4" w:val="single"/>
            <w:left w:color="2f2d91" w:space="0" w:sz="8" w:val="single"/>
            <w:bottom w:color="2f2d91" w:space="0" w:sz="18" w:val="single"/>
            <w:right w:color="2f2d91" w:space="0" w:sz="4" w:val="single"/>
          </w:tcBorders>
          <w:shd w:fill="auto" w:val="clear"/>
          <w:vAlign w:val="center"/>
        </w:tcPr>
        <w:p w:rsidR="00000000" w:rsidDel="00000000" w:rsidP="00000000" w:rsidRDefault="00000000" w:rsidRPr="00000000" w14:paraId="0000001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2f2d91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NOMBRE:</w:t>
          </w: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tcBorders>
            <w:top w:color="2f2d91" w:space="0" w:sz="8" w:val="single"/>
            <w:left w:color="2f2d91" w:space="0" w:sz="4" w:val="single"/>
            <w:right w:color="2f2d91" w:space="0" w:sz="18" w:val="single"/>
          </w:tcBorders>
        </w:tcPr>
        <w:p w:rsidR="00000000" w:rsidDel="00000000" w:rsidP="00000000" w:rsidRDefault="00000000" w:rsidRPr="00000000" w14:paraId="0000001F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2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  <w:tab w:val="left" w:leader="none" w:pos="46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ab/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5b9bd5" w:space="0" w:sz="8" w:val="single"/>
          <w:left w:color="5b9bd5" w:space="0" w:sz="8" w:val="single"/>
          <w:bottom w:color="5b9bd5" w:space="0" w:sz="8" w:val="single"/>
          <w:right w:color="5b9bd5" w:space="0" w:sz="8" w:val="single"/>
          <w:insideV w:color="5b9bd5" w:space="0" w:sz="8" w:val="single"/>
        </w:tcBorders>
        <w:shd w:fill="d6e6f4" w:val="clear"/>
      </w:tcPr>
    </w:tblStylePr>
    <w:tblStylePr w:type="band1Vert">
      <w:tcPr>
        <w:tcBorders>
          <w:top w:color="5b9bd5" w:space="0" w:sz="8" w:val="single"/>
          <w:left w:color="5b9bd5" w:space="0" w:sz="8" w:val="single"/>
          <w:bottom w:color="5b9bd5" w:space="0" w:sz="8" w:val="single"/>
          <w:right w:color="5b9bd5" w:space="0" w:sz="8" w:val="single"/>
        </w:tcBorders>
        <w:shd w:fill="d6e6f4" w:val="clear"/>
      </w:tcPr>
    </w:tblStylePr>
    <w:tblStylePr w:type="band2Horz">
      <w:tcPr>
        <w:tcBorders>
          <w:top w:color="5b9bd5" w:space="0" w:sz="8" w:val="single"/>
          <w:left w:color="5b9bd5" w:space="0" w:sz="8" w:val="single"/>
          <w:bottom w:color="5b9bd5" w:space="0" w:sz="8" w:val="single"/>
          <w:right w:color="5b9bd5" w:space="0" w:sz="8" w:val="single"/>
          <w:insideV w:color="5b9bd5" w:space="0" w:sz="8" w:val="single"/>
        </w:tcBorders>
      </w:tcPr>
    </w:tblStylePr>
    <w:tblStylePr w:type="firstCol">
      <w:rPr>
        <w:rFonts w:ascii="Calibri" w:cs="Calibri" w:eastAsia="Calibri" w:hAnsi="Calibri"/>
        <w:b w:val="1"/>
      </w:rPr>
    </w:tblStylePr>
    <w:tblStylePr w:type="fir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5b9bd5" w:space="0" w:sz="8" w:val="single"/>
          <w:left w:color="5b9bd5" w:space="0" w:sz="8" w:val="single"/>
          <w:bottom w:color="5b9bd5" w:space="0" w:sz="18" w:val="single"/>
          <w:right w:color="5b9bd5" w:space="0" w:sz="8" w:val="single"/>
          <w:insideH w:color="000000" w:space="0" w:sz="0" w:val="nil"/>
          <w:insideV w:color="5b9bd5" w:space="0" w:sz="8" w:val="single"/>
        </w:tcBorders>
      </w:tcPr>
    </w:tblStylePr>
    <w:tblStylePr w:type="lastCol">
      <w:rPr>
        <w:rFonts w:ascii="Calibri" w:cs="Calibri" w:eastAsia="Calibri" w:hAnsi="Calibri"/>
        <w:b w:val="1"/>
      </w:rPr>
      <w:tcPr>
        <w:tcBorders>
          <w:top w:color="5b9bd5" w:space="0" w:sz="8" w:val="single"/>
          <w:left w:color="5b9bd5" w:space="0" w:sz="8" w:val="single"/>
          <w:bottom w:color="5b9bd5" w:space="0" w:sz="8" w:val="single"/>
          <w:right w:color="5b9bd5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5b9bd5" w:space="0" w:sz="6" w:val="single"/>
          <w:left w:color="5b9bd5" w:space="0" w:sz="8" w:val="single"/>
          <w:bottom w:color="5b9bd5" w:space="0" w:sz="8" w:val="single"/>
          <w:right w:color="5b9bd5" w:space="0" w:sz="8" w:val="single"/>
          <w:insideH w:color="000000" w:space="0" w:sz="0" w:val="nil"/>
          <w:insideV w:color="5b9bd5" w:space="0" w:sz="8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3.png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