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8E2DD" w14:textId="77777777" w:rsidR="00FB00FF" w:rsidRDefault="00000000">
      <w:pPr>
        <w:pBdr>
          <w:bottom w:val="single" w:sz="6" w:space="0" w:color="C9A84C"/>
        </w:pBdr>
        <w:shd w:val="clear" w:color="auto" w:fill="0F0F1A"/>
      </w:pPr>
      <w:r>
        <w:rPr>
          <w:rFonts w:ascii="Arial" w:eastAsia="Arial" w:hAnsi="Arial" w:cs="Arial"/>
          <w:sz w:val="4"/>
          <w:szCs w:val="4"/>
        </w:rPr>
        <w:t xml:space="preserve"> </w:t>
      </w:r>
    </w:p>
    <w:p w14:paraId="47740BFB" w14:textId="77777777" w:rsidR="00FB00FF" w:rsidRDefault="00FB00FF">
      <w:pPr>
        <w:spacing w:after="100"/>
      </w:pPr>
    </w:p>
    <w:p w14:paraId="49FC71E7" w14:textId="77777777" w:rsidR="00FB00FF" w:rsidRDefault="00000000">
      <w:pPr>
        <w:spacing w:after="20"/>
      </w:pPr>
      <w:r>
        <w:rPr>
          <w:rFonts w:ascii="Arial" w:eastAsia="Arial" w:hAnsi="Arial" w:cs="Arial"/>
          <w:b/>
          <w:bCs/>
          <w:color w:val="0F0F1A"/>
          <w:sz w:val="40"/>
          <w:szCs w:val="40"/>
        </w:rPr>
        <w:t>OSRA Executive Assessment</w:t>
      </w:r>
    </w:p>
    <w:p w14:paraId="74AA7CF6" w14:textId="77777777" w:rsidR="00FB00FF" w:rsidRPr="00AF6BA7" w:rsidRDefault="00000000">
      <w:pPr>
        <w:spacing w:after="60"/>
        <w:rPr>
          <w:color w:val="45B0E1" w:themeColor="accent1" w:themeTint="99"/>
        </w:rPr>
      </w:pPr>
      <w:r w:rsidRPr="00AF6BA7">
        <w:rPr>
          <w:rFonts w:ascii="Arial" w:eastAsia="Arial" w:hAnsi="Arial" w:cs="Arial"/>
          <w:color w:val="45B0E1" w:themeColor="accent1" w:themeTint="99"/>
          <w:spacing w:val="60"/>
          <w:sz w:val="18"/>
          <w:szCs w:val="18"/>
        </w:rPr>
        <w:t>OPERATIONAL SUBSTRATE RISK AUDIT</w:t>
      </w:r>
    </w:p>
    <w:p w14:paraId="4B88E599" w14:textId="1FD9E101" w:rsidR="00FB00FF" w:rsidRDefault="00000000">
      <w:pPr>
        <w:spacing w:after="120"/>
        <w:rPr>
          <w:rFonts w:ascii="Arial" w:eastAsia="Arial" w:hAnsi="Arial" w:cs="Arial"/>
          <w:color w:val="2D2D35"/>
          <w:sz w:val="18"/>
          <w:szCs w:val="18"/>
        </w:rPr>
      </w:pPr>
      <w:r>
        <w:rPr>
          <w:rFonts w:ascii="Arial" w:eastAsia="Arial" w:hAnsi="Arial" w:cs="Arial"/>
          <w:color w:val="2D2D35"/>
          <w:sz w:val="18"/>
          <w:szCs w:val="18"/>
        </w:rPr>
        <w:t>The audit</w:t>
      </w:r>
      <w:r w:rsidR="00AF6BA7">
        <w:rPr>
          <w:rFonts w:ascii="Arial" w:eastAsia="Arial" w:hAnsi="Arial" w:cs="Arial"/>
          <w:color w:val="2D2D35"/>
          <w:sz w:val="18"/>
          <w:szCs w:val="18"/>
        </w:rPr>
        <w:t xml:space="preserve"> that</w:t>
      </w:r>
      <w:r>
        <w:rPr>
          <w:rFonts w:ascii="Arial" w:eastAsia="Arial" w:hAnsi="Arial" w:cs="Arial"/>
          <w:color w:val="2D2D35"/>
          <w:sz w:val="18"/>
          <w:szCs w:val="18"/>
        </w:rPr>
        <w:t xml:space="preserve"> your compliance framework assumes someone already did. </w:t>
      </w:r>
      <w:r w:rsidR="00AF6BA7">
        <w:rPr>
          <w:rFonts w:ascii="Arial" w:eastAsia="Arial" w:hAnsi="Arial" w:cs="Arial"/>
          <w:color w:val="2D2D35"/>
          <w:sz w:val="18"/>
          <w:szCs w:val="18"/>
        </w:rPr>
        <w:br/>
      </w:r>
      <w:r>
        <w:rPr>
          <w:rFonts w:ascii="Arial" w:eastAsia="Arial" w:hAnsi="Arial" w:cs="Arial"/>
          <w:color w:val="2D2D35"/>
          <w:sz w:val="18"/>
          <w:szCs w:val="18"/>
        </w:rPr>
        <w:t>OSRA maps where AI infrastructure risk converges beneath the governance layer, in the substrate that no existing framework audits.</w:t>
      </w:r>
    </w:p>
    <w:p w14:paraId="4A195A34" w14:textId="77777777" w:rsidR="00AF6BA7" w:rsidRDefault="00AF6BA7">
      <w:pPr>
        <w:spacing w:after="120"/>
        <w:rPr>
          <w:rFonts w:ascii="Arial" w:eastAsia="Arial" w:hAnsi="Arial" w:cs="Arial"/>
          <w:color w:val="2D2D35"/>
          <w:sz w:val="18"/>
          <w:szCs w:val="18"/>
        </w:rPr>
      </w:pPr>
    </w:p>
    <w:p w14:paraId="0C51A182" w14:textId="77777777" w:rsidR="00AF6BA7" w:rsidRDefault="00AF6BA7">
      <w:pPr>
        <w:spacing w:after="120"/>
      </w:pPr>
    </w:p>
    <w:p w14:paraId="5DDCFE90" w14:textId="77777777" w:rsidR="00FB00FF" w:rsidRDefault="00FB00FF">
      <w:pPr>
        <w:pBdr>
          <w:bottom w:val="single" w:sz="1" w:space="0" w:color="E0DDD6"/>
        </w:pBdr>
        <w:spacing w:after="60"/>
      </w:pPr>
    </w:p>
    <w:tbl>
      <w:tblPr>
        <w:tblW w:w="94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4600"/>
      </w:tblGrid>
      <w:tr w:rsidR="00FB00FF" w14:paraId="60E811EC" w14:textId="77777777" w:rsidTr="00AF6BA7">
        <w:tblPrEx>
          <w:tblCellMar>
            <w:top w:w="0" w:type="dxa"/>
            <w:bottom w:w="0" w:type="dxa"/>
          </w:tblCellMar>
        </w:tblPrEx>
        <w:tc>
          <w:tcPr>
            <w:tcW w:w="4800" w:type="dxa"/>
            <w:tcMar>
              <w:top w:w="0" w:type="dxa"/>
              <w:left w:w="0" w:type="dxa"/>
              <w:bottom w:w="0" w:type="dxa"/>
              <w:right w:w="150" w:type="dxa"/>
            </w:tcMar>
          </w:tcPr>
          <w:p w14:paraId="021ECE4E" w14:textId="77777777" w:rsidR="00FB00FF" w:rsidRPr="00AF6BA7" w:rsidRDefault="00000000">
            <w:pPr>
              <w:spacing w:before="200" w:after="80"/>
              <w:rPr>
                <w:color w:val="45B0E1" w:themeColor="accent1" w:themeTint="99"/>
              </w:rPr>
            </w:pPr>
            <w:r w:rsidRPr="00AF6BA7">
              <w:rPr>
                <w:rFonts w:ascii="Arial" w:eastAsia="Arial" w:hAnsi="Arial" w:cs="Arial"/>
                <w:b/>
                <w:bCs/>
                <w:color w:val="45B0E1" w:themeColor="accent1" w:themeTint="99"/>
                <w:sz w:val="17"/>
                <w:szCs w:val="17"/>
              </w:rPr>
              <w:t>THE METHODOLOGY</w:t>
            </w:r>
          </w:p>
          <w:p w14:paraId="72DD40B4" w14:textId="77777777" w:rsidR="00FB00FF" w:rsidRPr="00AF6BA7" w:rsidRDefault="00000000">
            <w:pPr>
              <w:spacing w:after="20"/>
              <w:rPr>
                <w:sz w:val="18"/>
                <w:szCs w:val="18"/>
              </w:rPr>
            </w:pPr>
            <w:r w:rsidRPr="00AF6BA7">
              <w:rPr>
                <w:rFonts w:ascii="Arial" w:eastAsia="Arial" w:hAnsi="Arial" w:cs="Arial"/>
                <w:b/>
                <w:bCs/>
                <w:color w:val="0F0F1A"/>
                <w:sz w:val="18"/>
                <w:szCs w:val="18"/>
              </w:rPr>
              <w:t>Phase 1: Substrate Mapping</w:t>
            </w:r>
          </w:p>
          <w:p w14:paraId="2D082657" w14:textId="77777777" w:rsidR="00FB00FF" w:rsidRPr="00AF6BA7" w:rsidRDefault="00000000">
            <w:pPr>
              <w:spacing w:after="80"/>
              <w:rPr>
                <w:sz w:val="18"/>
                <w:szCs w:val="18"/>
              </w:rPr>
            </w:pPr>
            <w:r w:rsidRPr="00AF6BA7">
              <w:rPr>
                <w:rFonts w:ascii="Arial" w:eastAsia="Arial" w:hAnsi="Arial" w:cs="Arial"/>
                <w:color w:val="5A5865"/>
                <w:sz w:val="18"/>
                <w:szCs w:val="18"/>
              </w:rPr>
              <w:t>What does your AI system actually depend on? Map the real infrastructure chain — model, compute, data, energy, contracts, geography.</w:t>
            </w:r>
          </w:p>
          <w:p w14:paraId="2CB3A60F" w14:textId="77777777" w:rsidR="00FB00FF" w:rsidRPr="00AF6BA7" w:rsidRDefault="00000000">
            <w:pPr>
              <w:spacing w:after="20"/>
              <w:rPr>
                <w:sz w:val="18"/>
                <w:szCs w:val="18"/>
              </w:rPr>
            </w:pPr>
            <w:r w:rsidRPr="00AF6BA7">
              <w:rPr>
                <w:rFonts w:ascii="Arial" w:eastAsia="Arial" w:hAnsi="Arial" w:cs="Arial"/>
                <w:b/>
                <w:bCs/>
                <w:color w:val="0F0F1A"/>
                <w:sz w:val="18"/>
                <w:szCs w:val="18"/>
              </w:rPr>
              <w:t>Phase 2: Failure Surface Analysis</w:t>
            </w:r>
          </w:p>
          <w:p w14:paraId="02F647BF" w14:textId="77777777" w:rsidR="00FB00FF" w:rsidRPr="00AF6BA7" w:rsidRDefault="00000000">
            <w:pPr>
              <w:spacing w:after="80"/>
              <w:rPr>
                <w:sz w:val="18"/>
                <w:szCs w:val="18"/>
              </w:rPr>
            </w:pPr>
            <w:r w:rsidRPr="00AF6BA7">
              <w:rPr>
                <w:rFonts w:ascii="Arial" w:eastAsia="Arial" w:hAnsi="Arial" w:cs="Arial"/>
                <w:color w:val="5A5865"/>
                <w:sz w:val="18"/>
                <w:szCs w:val="18"/>
              </w:rPr>
              <w:t>For each dependency, what does failure look like? Who would notice? Where are the silent failures that produce no error signal?</w:t>
            </w:r>
          </w:p>
          <w:p w14:paraId="3D2B2A00" w14:textId="77777777" w:rsidR="00FB00FF" w:rsidRPr="00AF6BA7" w:rsidRDefault="00000000">
            <w:pPr>
              <w:spacing w:after="20"/>
              <w:rPr>
                <w:sz w:val="18"/>
                <w:szCs w:val="18"/>
              </w:rPr>
            </w:pPr>
            <w:r w:rsidRPr="00AF6BA7">
              <w:rPr>
                <w:rFonts w:ascii="Arial" w:eastAsia="Arial" w:hAnsi="Arial" w:cs="Arial"/>
                <w:b/>
                <w:bCs/>
                <w:color w:val="0F0F1A"/>
                <w:sz w:val="18"/>
                <w:szCs w:val="18"/>
              </w:rPr>
              <w:t>Phase 3: Trust Surface Audit</w:t>
            </w:r>
          </w:p>
          <w:p w14:paraId="3BF72402" w14:textId="77777777" w:rsidR="00FB00FF" w:rsidRPr="00AF6BA7" w:rsidRDefault="00000000">
            <w:pPr>
              <w:spacing w:after="80"/>
              <w:rPr>
                <w:sz w:val="18"/>
                <w:szCs w:val="18"/>
              </w:rPr>
            </w:pPr>
            <w:r w:rsidRPr="00AF6BA7">
              <w:rPr>
                <w:rFonts w:ascii="Arial" w:eastAsia="Arial" w:hAnsi="Arial" w:cs="Arial"/>
                <w:color w:val="5A5865"/>
                <w:sz w:val="18"/>
                <w:szCs w:val="18"/>
              </w:rPr>
              <w:t>Where are you trusting vendor claims, certifications, and SLAs you have never independently verified? Including human-in-the-loop effectiveness.</w:t>
            </w:r>
          </w:p>
          <w:p w14:paraId="132D41B0" w14:textId="77777777" w:rsidR="00FB00FF" w:rsidRPr="00AF6BA7" w:rsidRDefault="00000000">
            <w:pPr>
              <w:spacing w:after="20"/>
              <w:rPr>
                <w:sz w:val="18"/>
                <w:szCs w:val="18"/>
              </w:rPr>
            </w:pPr>
            <w:r w:rsidRPr="00AF6BA7">
              <w:rPr>
                <w:rFonts w:ascii="Arial" w:eastAsia="Arial" w:hAnsi="Arial" w:cs="Arial"/>
                <w:b/>
                <w:bCs/>
                <w:color w:val="0F0F1A"/>
                <w:sz w:val="18"/>
                <w:szCs w:val="18"/>
              </w:rPr>
              <w:t>Phase 4: Convergence Mapping</w:t>
            </w:r>
          </w:p>
          <w:p w14:paraId="4A3DB210" w14:textId="77777777" w:rsidR="00FB00FF" w:rsidRPr="00AF6BA7" w:rsidRDefault="00000000">
            <w:pPr>
              <w:spacing w:after="80"/>
              <w:rPr>
                <w:sz w:val="18"/>
                <w:szCs w:val="18"/>
              </w:rPr>
            </w:pPr>
            <w:r w:rsidRPr="00AF6BA7">
              <w:rPr>
                <w:rFonts w:ascii="Arial" w:eastAsia="Arial" w:hAnsi="Arial" w:cs="Arial"/>
                <w:color w:val="5A5865"/>
                <w:sz w:val="18"/>
                <w:szCs w:val="18"/>
              </w:rPr>
              <w:t>Where do substrate risks, undetected failures, and unverified trust overlap? That convergence is where real exposure concentrates.</w:t>
            </w:r>
          </w:p>
          <w:p w14:paraId="3BE4E156" w14:textId="77777777" w:rsidR="00FB00FF" w:rsidRPr="00AF6BA7" w:rsidRDefault="00000000">
            <w:pPr>
              <w:spacing w:before="200" w:after="80"/>
              <w:rPr>
                <w:color w:val="45B0E1" w:themeColor="accent1" w:themeTint="99"/>
              </w:rPr>
            </w:pPr>
            <w:r w:rsidRPr="00AF6BA7">
              <w:rPr>
                <w:rFonts w:ascii="Arial" w:eastAsia="Arial" w:hAnsi="Arial" w:cs="Arial"/>
                <w:b/>
                <w:bCs/>
                <w:color w:val="45B0E1" w:themeColor="accent1" w:themeTint="99"/>
                <w:sz w:val="17"/>
                <w:szCs w:val="17"/>
              </w:rPr>
              <w:t>DELIVERABLES</w:t>
            </w:r>
          </w:p>
          <w:p w14:paraId="56A56BB2" w14:textId="77777777" w:rsidR="00FB00FF" w:rsidRPr="00AF6BA7" w:rsidRDefault="00000000">
            <w:pPr>
              <w:spacing w:after="40"/>
              <w:ind w:left="200"/>
              <w:rPr>
                <w:sz w:val="18"/>
                <w:szCs w:val="18"/>
              </w:rPr>
            </w:pPr>
            <w:r w:rsidRPr="00AF6BA7">
              <w:rPr>
                <w:rFonts w:ascii="Arial" w:eastAsia="Arial" w:hAnsi="Arial" w:cs="Arial"/>
                <w:color w:val="C9A84C"/>
                <w:sz w:val="18"/>
                <w:szCs w:val="18"/>
              </w:rPr>
              <w:t xml:space="preserve">●  </w:t>
            </w:r>
            <w:r w:rsidRPr="00AF6BA7">
              <w:rPr>
                <w:rFonts w:ascii="Arial" w:eastAsia="Arial" w:hAnsi="Arial" w:cs="Arial"/>
                <w:color w:val="2D2D35"/>
                <w:sz w:val="18"/>
                <w:szCs w:val="18"/>
              </w:rPr>
              <w:t>Substrate Risk Map with dependency chain analysis</w:t>
            </w:r>
          </w:p>
          <w:p w14:paraId="23216222" w14:textId="77777777" w:rsidR="00FB00FF" w:rsidRPr="00AF6BA7" w:rsidRDefault="00000000">
            <w:pPr>
              <w:spacing w:after="40"/>
              <w:ind w:left="200"/>
              <w:rPr>
                <w:sz w:val="18"/>
                <w:szCs w:val="18"/>
              </w:rPr>
            </w:pPr>
            <w:r w:rsidRPr="00AF6BA7">
              <w:rPr>
                <w:rFonts w:ascii="Arial" w:eastAsia="Arial" w:hAnsi="Arial" w:cs="Arial"/>
                <w:color w:val="C9A84C"/>
                <w:sz w:val="18"/>
                <w:szCs w:val="18"/>
              </w:rPr>
              <w:t xml:space="preserve">●  </w:t>
            </w:r>
            <w:r w:rsidRPr="00AF6BA7">
              <w:rPr>
                <w:rFonts w:ascii="Arial" w:eastAsia="Arial" w:hAnsi="Arial" w:cs="Arial"/>
                <w:color w:val="2D2D35"/>
                <w:sz w:val="18"/>
                <w:szCs w:val="18"/>
              </w:rPr>
              <w:t>Failure Surface Register with severity and silent failure flags</w:t>
            </w:r>
          </w:p>
          <w:p w14:paraId="52BE7D5B" w14:textId="77777777" w:rsidR="00FB00FF" w:rsidRPr="00AF6BA7" w:rsidRDefault="00000000">
            <w:pPr>
              <w:spacing w:after="40"/>
              <w:ind w:left="200"/>
              <w:rPr>
                <w:sz w:val="18"/>
                <w:szCs w:val="18"/>
              </w:rPr>
            </w:pPr>
            <w:r w:rsidRPr="00AF6BA7">
              <w:rPr>
                <w:rFonts w:ascii="Arial" w:eastAsia="Arial" w:hAnsi="Arial" w:cs="Arial"/>
                <w:color w:val="C9A84C"/>
                <w:sz w:val="18"/>
                <w:szCs w:val="18"/>
              </w:rPr>
              <w:t xml:space="preserve">●  </w:t>
            </w:r>
            <w:r w:rsidRPr="00AF6BA7">
              <w:rPr>
                <w:rFonts w:ascii="Arial" w:eastAsia="Arial" w:hAnsi="Arial" w:cs="Arial"/>
                <w:color w:val="2D2D35"/>
                <w:sz w:val="18"/>
                <w:szCs w:val="18"/>
              </w:rPr>
              <w:t>Trust Surface Register with verification status</w:t>
            </w:r>
          </w:p>
          <w:p w14:paraId="70DBDF14" w14:textId="77777777" w:rsidR="00FB00FF" w:rsidRPr="00AF6BA7" w:rsidRDefault="00000000">
            <w:pPr>
              <w:spacing w:after="40"/>
              <w:ind w:left="200"/>
              <w:rPr>
                <w:sz w:val="18"/>
                <w:szCs w:val="18"/>
              </w:rPr>
            </w:pPr>
            <w:r w:rsidRPr="00AF6BA7">
              <w:rPr>
                <w:rFonts w:ascii="Arial" w:eastAsia="Arial" w:hAnsi="Arial" w:cs="Arial"/>
                <w:color w:val="C9A84C"/>
                <w:sz w:val="18"/>
                <w:szCs w:val="18"/>
              </w:rPr>
              <w:t xml:space="preserve">●  </w:t>
            </w:r>
            <w:r w:rsidRPr="00AF6BA7">
              <w:rPr>
                <w:rFonts w:ascii="Arial" w:eastAsia="Arial" w:hAnsi="Arial" w:cs="Arial"/>
                <w:color w:val="2D2D35"/>
                <w:sz w:val="18"/>
                <w:szCs w:val="18"/>
              </w:rPr>
              <w:t>Convergence Risk Summary — ranked, scored, actionable</w:t>
            </w:r>
          </w:p>
          <w:p w14:paraId="3E09E5FF" w14:textId="77777777" w:rsidR="00FB00FF" w:rsidRPr="00AF6BA7" w:rsidRDefault="00000000">
            <w:pPr>
              <w:spacing w:after="40"/>
              <w:ind w:left="200"/>
              <w:rPr>
                <w:sz w:val="18"/>
                <w:szCs w:val="18"/>
              </w:rPr>
            </w:pPr>
            <w:r w:rsidRPr="00AF6BA7">
              <w:rPr>
                <w:rFonts w:ascii="Arial" w:eastAsia="Arial" w:hAnsi="Arial" w:cs="Arial"/>
                <w:color w:val="C9A84C"/>
                <w:sz w:val="18"/>
                <w:szCs w:val="18"/>
              </w:rPr>
              <w:t xml:space="preserve">●  </w:t>
            </w:r>
            <w:r w:rsidRPr="00AF6BA7">
              <w:rPr>
                <w:rFonts w:ascii="Arial" w:eastAsia="Arial" w:hAnsi="Arial" w:cs="Arial"/>
                <w:color w:val="2D2D35"/>
                <w:sz w:val="18"/>
                <w:szCs w:val="18"/>
              </w:rPr>
              <w:t>90-day remediation sequence with ownership</w:t>
            </w:r>
          </w:p>
          <w:p w14:paraId="1CC9387D" w14:textId="77777777" w:rsidR="00FB00FF" w:rsidRPr="00AF6BA7" w:rsidRDefault="00000000">
            <w:pPr>
              <w:spacing w:after="40"/>
              <w:ind w:left="200"/>
              <w:rPr>
                <w:sz w:val="18"/>
                <w:szCs w:val="18"/>
              </w:rPr>
            </w:pPr>
            <w:r w:rsidRPr="00AF6BA7">
              <w:rPr>
                <w:rFonts w:ascii="Arial" w:eastAsia="Arial" w:hAnsi="Arial" w:cs="Arial"/>
                <w:color w:val="C9A84C"/>
                <w:sz w:val="18"/>
                <w:szCs w:val="18"/>
              </w:rPr>
              <w:t xml:space="preserve">●  </w:t>
            </w:r>
            <w:r w:rsidRPr="00AF6BA7">
              <w:rPr>
                <w:rFonts w:ascii="Arial" w:eastAsia="Arial" w:hAnsi="Arial" w:cs="Arial"/>
                <w:color w:val="2D2D35"/>
                <w:sz w:val="18"/>
                <w:szCs w:val="18"/>
              </w:rPr>
              <w:t>One-page board summary for governance reporting</w:t>
            </w:r>
          </w:p>
          <w:p w14:paraId="6E88C682" w14:textId="77777777" w:rsidR="00FB00FF" w:rsidRDefault="00000000">
            <w:pPr>
              <w:spacing w:after="40"/>
              <w:ind w:left="200"/>
            </w:pPr>
            <w:r w:rsidRPr="00AF6BA7">
              <w:rPr>
                <w:rFonts w:ascii="Arial" w:eastAsia="Arial" w:hAnsi="Arial" w:cs="Arial"/>
                <w:color w:val="C9A84C"/>
                <w:sz w:val="18"/>
                <w:szCs w:val="18"/>
              </w:rPr>
              <w:t xml:space="preserve">●  </w:t>
            </w:r>
            <w:r w:rsidRPr="00AF6BA7">
              <w:rPr>
                <w:rFonts w:ascii="Arial" w:eastAsia="Arial" w:hAnsi="Arial" w:cs="Arial"/>
                <w:color w:val="2D2D35"/>
                <w:sz w:val="18"/>
                <w:szCs w:val="18"/>
              </w:rPr>
              <w:t>One presentation to leadership team</w:t>
            </w:r>
          </w:p>
        </w:tc>
        <w:tc>
          <w:tcPr>
            <w:tcW w:w="4600" w:type="dxa"/>
            <w:tcMar>
              <w:top w:w="0" w:type="dxa"/>
              <w:left w:w="150" w:type="dxa"/>
              <w:bottom w:w="0" w:type="dxa"/>
              <w:right w:w="0" w:type="dxa"/>
            </w:tcMar>
          </w:tcPr>
          <w:p w14:paraId="103464C9" w14:textId="77777777" w:rsidR="00FB00FF" w:rsidRPr="00AF6BA7" w:rsidRDefault="00000000">
            <w:pPr>
              <w:spacing w:before="200" w:after="80"/>
              <w:rPr>
                <w:color w:val="45B0E1" w:themeColor="accent1" w:themeTint="99"/>
              </w:rPr>
            </w:pPr>
            <w:r w:rsidRPr="00AF6BA7">
              <w:rPr>
                <w:rFonts w:ascii="Arial" w:eastAsia="Arial" w:hAnsi="Arial" w:cs="Arial"/>
                <w:b/>
                <w:bCs/>
                <w:color w:val="45B0E1" w:themeColor="accent1" w:themeTint="99"/>
                <w:sz w:val="17"/>
                <w:szCs w:val="17"/>
              </w:rPr>
              <w:t>ENGAGEMENT SHAPE</w:t>
            </w:r>
          </w:p>
          <w:p w14:paraId="450B3ABA" w14:textId="77777777" w:rsidR="00FB00FF" w:rsidRPr="00AF6BA7" w:rsidRDefault="00000000">
            <w:pPr>
              <w:spacing w:after="60"/>
              <w:rPr>
                <w:sz w:val="18"/>
                <w:szCs w:val="18"/>
              </w:rPr>
            </w:pPr>
            <w:r w:rsidRPr="00AF6BA7">
              <w:rPr>
                <w:rFonts w:ascii="Arial" w:eastAsia="Arial" w:hAnsi="Arial" w:cs="Arial"/>
                <w:b/>
                <w:bCs/>
                <w:color w:val="0F0F1A"/>
                <w:sz w:val="18"/>
                <w:szCs w:val="18"/>
              </w:rPr>
              <w:t xml:space="preserve">Duration: </w:t>
            </w:r>
            <w:r w:rsidRPr="00AF6BA7">
              <w:rPr>
                <w:rFonts w:ascii="Arial" w:eastAsia="Arial" w:hAnsi="Arial" w:cs="Arial"/>
                <w:color w:val="2D2D35"/>
                <w:sz w:val="18"/>
                <w:szCs w:val="18"/>
              </w:rPr>
              <w:t>2–3 weeks elapsed</w:t>
            </w:r>
          </w:p>
          <w:p w14:paraId="5AD8C4E4" w14:textId="77777777" w:rsidR="00FB00FF" w:rsidRPr="00AF6BA7" w:rsidRDefault="00000000">
            <w:pPr>
              <w:spacing w:after="60"/>
              <w:rPr>
                <w:sz w:val="18"/>
                <w:szCs w:val="18"/>
              </w:rPr>
            </w:pPr>
            <w:r w:rsidRPr="00AF6BA7">
              <w:rPr>
                <w:rFonts w:ascii="Arial" w:eastAsia="Arial" w:hAnsi="Arial" w:cs="Arial"/>
                <w:b/>
                <w:bCs/>
                <w:color w:val="0F0F1A"/>
                <w:sz w:val="18"/>
                <w:szCs w:val="18"/>
              </w:rPr>
              <w:t xml:space="preserve">Effort: </w:t>
            </w:r>
            <w:r w:rsidRPr="00AF6BA7">
              <w:rPr>
                <w:rFonts w:ascii="Arial" w:eastAsia="Arial" w:hAnsi="Arial" w:cs="Arial"/>
                <w:color w:val="2D2D35"/>
                <w:sz w:val="18"/>
                <w:szCs w:val="18"/>
              </w:rPr>
              <w:t>6–8 working days</w:t>
            </w:r>
          </w:p>
          <w:p w14:paraId="49063811" w14:textId="77777777" w:rsidR="00FB00FF" w:rsidRPr="00AF6BA7" w:rsidRDefault="00000000">
            <w:pPr>
              <w:spacing w:after="60"/>
              <w:rPr>
                <w:sz w:val="18"/>
                <w:szCs w:val="18"/>
              </w:rPr>
            </w:pPr>
            <w:r w:rsidRPr="00AF6BA7">
              <w:rPr>
                <w:rFonts w:ascii="Arial" w:eastAsia="Arial" w:hAnsi="Arial" w:cs="Arial"/>
                <w:b/>
                <w:bCs/>
                <w:color w:val="0F0F1A"/>
                <w:sz w:val="18"/>
                <w:szCs w:val="18"/>
              </w:rPr>
              <w:t xml:space="preserve">Scope: </w:t>
            </w:r>
            <w:r w:rsidRPr="00AF6BA7">
              <w:rPr>
                <w:rFonts w:ascii="Arial" w:eastAsia="Arial" w:hAnsi="Arial" w:cs="Arial"/>
                <w:color w:val="2D2D35"/>
                <w:sz w:val="18"/>
                <w:szCs w:val="18"/>
              </w:rPr>
              <w:t>Document review, 5–8 stakeholder interviews (CISO, CTO, compliance, infrastructure, vendor management), substrate mapping against the OSRA framework, board-ready findings report, one presentation to leadership.</w:t>
            </w:r>
          </w:p>
          <w:p w14:paraId="0EA1CAD5" w14:textId="77777777" w:rsidR="00FB00FF" w:rsidRPr="00AF6BA7" w:rsidRDefault="00000000">
            <w:pPr>
              <w:spacing w:before="200" w:after="80"/>
              <w:rPr>
                <w:color w:val="45B0E1" w:themeColor="accent1" w:themeTint="99"/>
              </w:rPr>
            </w:pPr>
            <w:r w:rsidRPr="00AF6BA7">
              <w:rPr>
                <w:rFonts w:ascii="Arial" w:eastAsia="Arial" w:hAnsi="Arial" w:cs="Arial"/>
                <w:b/>
                <w:bCs/>
                <w:color w:val="45B0E1" w:themeColor="accent1" w:themeTint="99"/>
                <w:sz w:val="17"/>
                <w:szCs w:val="17"/>
              </w:rPr>
              <w:t>INVESTMENT</w:t>
            </w:r>
          </w:p>
          <w:p w14:paraId="6FEEFB02" w14:textId="77777777" w:rsidR="00FB00FF" w:rsidRDefault="00000000">
            <w:pPr>
              <w:spacing w:after="10"/>
            </w:pPr>
            <w:r>
              <w:rPr>
                <w:rFonts w:ascii="Arial" w:eastAsia="Arial" w:hAnsi="Arial" w:cs="Arial"/>
                <w:b/>
                <w:bCs/>
                <w:color w:val="0F0F1A"/>
                <w:sz w:val="26"/>
                <w:szCs w:val="26"/>
              </w:rPr>
              <w:t>€9,500</w:t>
            </w:r>
            <w:r>
              <w:rPr>
                <w:rFonts w:ascii="Arial" w:eastAsia="Arial" w:hAnsi="Arial" w:cs="Arial"/>
                <w:color w:val="5A5865"/>
                <w:sz w:val="14"/>
                <w:szCs w:val="14"/>
              </w:rPr>
              <w:t xml:space="preserve">  mid-market     </w:t>
            </w:r>
            <w:r>
              <w:rPr>
                <w:rFonts w:ascii="Arial" w:eastAsia="Arial" w:hAnsi="Arial" w:cs="Arial"/>
                <w:b/>
                <w:bCs/>
                <w:color w:val="0F0F1A"/>
                <w:sz w:val="26"/>
                <w:szCs w:val="26"/>
              </w:rPr>
              <w:t>€14,500</w:t>
            </w:r>
            <w:r>
              <w:rPr>
                <w:rFonts w:ascii="Arial" w:eastAsia="Arial" w:hAnsi="Arial" w:cs="Arial"/>
                <w:color w:val="5A5865"/>
                <w:sz w:val="14"/>
                <w:szCs w:val="14"/>
              </w:rPr>
              <w:t xml:space="preserve">  regulated / complex</w:t>
            </w:r>
          </w:p>
          <w:p w14:paraId="3E206D51" w14:textId="77777777" w:rsidR="00FB00FF" w:rsidRDefault="00000000">
            <w:pPr>
              <w:spacing w:after="40"/>
            </w:pPr>
            <w:r>
              <w:rPr>
                <w:rFonts w:ascii="Arial" w:eastAsia="Arial" w:hAnsi="Arial" w:cs="Arial"/>
                <w:color w:val="5A5865"/>
                <w:sz w:val="14"/>
                <w:szCs w:val="14"/>
              </w:rPr>
              <w:t>Fixed scope, fixed price. No day-rate uncertainty.</w:t>
            </w:r>
          </w:p>
          <w:p w14:paraId="7D0EA459" w14:textId="77777777" w:rsidR="00FB00FF" w:rsidRPr="00AF6BA7" w:rsidRDefault="00000000">
            <w:pPr>
              <w:spacing w:before="200" w:after="80"/>
              <w:rPr>
                <w:color w:val="45B0E1" w:themeColor="accent1" w:themeTint="99"/>
              </w:rPr>
            </w:pPr>
            <w:r w:rsidRPr="00AF6BA7">
              <w:rPr>
                <w:rFonts w:ascii="Arial" w:eastAsia="Arial" w:hAnsi="Arial" w:cs="Arial"/>
                <w:b/>
                <w:bCs/>
                <w:color w:val="45B0E1" w:themeColor="accent1" w:themeTint="99"/>
                <w:sz w:val="17"/>
                <w:szCs w:val="17"/>
              </w:rPr>
              <w:t>WHO THIS IS FOR</w:t>
            </w:r>
          </w:p>
          <w:p w14:paraId="35C3E810" w14:textId="77777777" w:rsidR="00FB00FF" w:rsidRPr="00AF6BA7" w:rsidRDefault="00000000">
            <w:pPr>
              <w:spacing w:after="60"/>
              <w:rPr>
                <w:sz w:val="18"/>
                <w:szCs w:val="18"/>
              </w:rPr>
            </w:pPr>
            <w:r w:rsidRPr="00AF6BA7">
              <w:rPr>
                <w:rFonts w:ascii="Arial" w:eastAsia="Arial" w:hAnsi="Arial" w:cs="Arial"/>
                <w:color w:val="2D2D35"/>
                <w:sz w:val="18"/>
                <w:szCs w:val="18"/>
              </w:rPr>
              <w:t>CISOs, CTOs, and boards of organisations deploying AI into regulated or critical environments. Particularly relevant for DORA-regulated financial institutions, EU AI Act high-risk system deployers, and NIS2-designated entities.</w:t>
            </w:r>
          </w:p>
          <w:p w14:paraId="37AA7FB6" w14:textId="77777777" w:rsidR="00FB00FF" w:rsidRPr="00AF6BA7" w:rsidRDefault="00000000">
            <w:pPr>
              <w:spacing w:before="200" w:after="80"/>
              <w:rPr>
                <w:color w:val="45B0E1" w:themeColor="accent1" w:themeTint="99"/>
              </w:rPr>
            </w:pPr>
            <w:r w:rsidRPr="00AF6BA7">
              <w:rPr>
                <w:rFonts w:ascii="Arial" w:eastAsia="Arial" w:hAnsi="Arial" w:cs="Arial"/>
                <w:b/>
                <w:bCs/>
                <w:color w:val="45B0E1" w:themeColor="accent1" w:themeTint="99"/>
                <w:sz w:val="17"/>
                <w:szCs w:val="17"/>
              </w:rPr>
              <w:t>EVIDENCE BASE</w:t>
            </w:r>
          </w:p>
          <w:p w14:paraId="22F2310D" w14:textId="11827617" w:rsidR="00FB00FF" w:rsidRPr="00AF6BA7" w:rsidRDefault="00000000">
            <w:pPr>
              <w:spacing w:after="60"/>
              <w:rPr>
                <w:sz w:val="18"/>
                <w:szCs w:val="18"/>
              </w:rPr>
            </w:pPr>
            <w:r w:rsidRPr="00AF6BA7">
              <w:rPr>
                <w:rFonts w:ascii="Arial" w:eastAsia="Arial" w:hAnsi="Arial" w:cs="Arial"/>
                <w:color w:val="2D2D35"/>
                <w:sz w:val="18"/>
                <w:szCs w:val="18"/>
              </w:rPr>
              <w:t xml:space="preserve">OSRA is built on documented research: </w:t>
            </w:r>
            <w:r w:rsidR="00AF6BA7" w:rsidRPr="00AF6BA7">
              <w:rPr>
                <w:rFonts w:ascii="Arial" w:eastAsia="Arial" w:hAnsi="Arial" w:cs="Arial"/>
                <w:color w:val="2D2D35"/>
                <w:sz w:val="18"/>
                <w:szCs w:val="18"/>
              </w:rPr>
              <w:br/>
            </w:r>
            <w:r w:rsidRPr="00AF6BA7">
              <w:rPr>
                <w:rFonts w:ascii="Arial" w:eastAsia="Arial" w:hAnsi="Arial" w:cs="Arial"/>
                <w:color w:val="2D2D35"/>
                <w:sz w:val="18"/>
                <w:szCs w:val="18"/>
              </w:rPr>
              <w:t xml:space="preserve">12 governance frameworks analysed clause-by-clause, </w:t>
            </w:r>
            <w:r w:rsidR="00AF6BA7" w:rsidRPr="00AF6BA7">
              <w:rPr>
                <w:rFonts w:ascii="Arial" w:eastAsia="Arial" w:hAnsi="Arial" w:cs="Arial"/>
                <w:color w:val="2D2D35"/>
                <w:sz w:val="18"/>
                <w:szCs w:val="18"/>
              </w:rPr>
              <w:br/>
            </w:r>
            <w:r w:rsidRPr="00AF6BA7">
              <w:rPr>
                <w:rFonts w:ascii="Arial" w:eastAsia="Arial" w:hAnsi="Arial" w:cs="Arial"/>
                <w:color w:val="2D2D35"/>
                <w:sz w:val="18"/>
                <w:szCs w:val="18"/>
              </w:rPr>
              <w:t xml:space="preserve">15 existing methodologies surveyed, </w:t>
            </w:r>
            <w:r w:rsidR="00AF6BA7" w:rsidRPr="00AF6BA7">
              <w:rPr>
                <w:rFonts w:ascii="Arial" w:eastAsia="Arial" w:hAnsi="Arial" w:cs="Arial"/>
                <w:color w:val="2D2D35"/>
                <w:sz w:val="18"/>
                <w:szCs w:val="18"/>
              </w:rPr>
              <w:br/>
            </w:r>
            <w:r w:rsidRPr="00AF6BA7">
              <w:rPr>
                <w:rFonts w:ascii="Arial" w:eastAsia="Arial" w:hAnsi="Arial" w:cs="Arial"/>
                <w:color w:val="2D2D35"/>
                <w:sz w:val="18"/>
                <w:szCs w:val="18"/>
              </w:rPr>
              <w:t xml:space="preserve">regulatory liability mapped across 10+ jurisdictions, </w:t>
            </w:r>
            <w:r w:rsidR="00AF6BA7" w:rsidRPr="00AF6BA7">
              <w:rPr>
                <w:rFonts w:ascii="Arial" w:eastAsia="Arial" w:hAnsi="Arial" w:cs="Arial"/>
                <w:color w:val="2D2D35"/>
                <w:sz w:val="18"/>
                <w:szCs w:val="18"/>
              </w:rPr>
              <w:br/>
            </w:r>
            <w:r w:rsidRPr="00AF6BA7">
              <w:rPr>
                <w:rFonts w:ascii="Arial" w:eastAsia="Arial" w:hAnsi="Arial" w:cs="Arial"/>
                <w:color w:val="2D2D35"/>
                <w:sz w:val="18"/>
                <w:szCs w:val="18"/>
              </w:rPr>
              <w:t xml:space="preserve">scoring calibrated across 5 sectors. </w:t>
            </w:r>
            <w:r w:rsidR="00AF6BA7" w:rsidRPr="00AF6BA7">
              <w:rPr>
                <w:rFonts w:ascii="Arial" w:eastAsia="Arial" w:hAnsi="Arial" w:cs="Arial"/>
                <w:color w:val="2D2D35"/>
                <w:sz w:val="18"/>
                <w:szCs w:val="18"/>
              </w:rPr>
              <w:br/>
            </w:r>
            <w:r w:rsidR="00AF6BA7" w:rsidRPr="00AF6BA7">
              <w:rPr>
                <w:rFonts w:ascii="Arial" w:eastAsia="Arial" w:hAnsi="Arial" w:cs="Arial"/>
                <w:color w:val="2D2D35"/>
                <w:sz w:val="18"/>
                <w:szCs w:val="18"/>
              </w:rPr>
              <w:br/>
            </w:r>
            <w:r w:rsidRPr="00AF6BA7">
              <w:rPr>
                <w:rFonts w:ascii="Arial" w:eastAsia="Arial" w:hAnsi="Arial" w:cs="Arial"/>
                <w:color w:val="2D2D35"/>
                <w:sz w:val="18"/>
                <w:szCs w:val="18"/>
              </w:rPr>
              <w:t>The methodology and templates are open source on GitHub</w:t>
            </w:r>
            <w:r w:rsidR="00AF6BA7" w:rsidRPr="00AF6BA7">
              <w:rPr>
                <w:rFonts w:ascii="Arial" w:eastAsia="Arial" w:hAnsi="Arial" w:cs="Arial"/>
                <w:color w:val="2D2D35"/>
                <w:sz w:val="18"/>
                <w:szCs w:val="18"/>
              </w:rPr>
              <w:t xml:space="preserve"> while</w:t>
            </w:r>
            <w:r w:rsidRPr="00AF6BA7">
              <w:rPr>
                <w:rFonts w:ascii="Arial" w:eastAsia="Arial" w:hAnsi="Arial" w:cs="Arial"/>
                <w:color w:val="2D2D35"/>
                <w:sz w:val="18"/>
                <w:szCs w:val="18"/>
              </w:rPr>
              <w:t xml:space="preserve"> the assessment applies them to your specific environment.</w:t>
            </w:r>
          </w:p>
          <w:p w14:paraId="40508196" w14:textId="77777777" w:rsidR="00FB00FF" w:rsidRPr="00AF6BA7" w:rsidRDefault="00000000">
            <w:pPr>
              <w:spacing w:before="200" w:after="80"/>
              <w:rPr>
                <w:color w:val="45B0E1" w:themeColor="accent1" w:themeTint="99"/>
              </w:rPr>
            </w:pPr>
            <w:r w:rsidRPr="00AF6BA7">
              <w:rPr>
                <w:rFonts w:ascii="Arial" w:eastAsia="Arial" w:hAnsi="Arial" w:cs="Arial"/>
                <w:b/>
                <w:bCs/>
                <w:color w:val="45B0E1" w:themeColor="accent1" w:themeTint="99"/>
                <w:sz w:val="17"/>
                <w:szCs w:val="17"/>
              </w:rPr>
              <w:t>PROOF ARTEFACT</w:t>
            </w:r>
          </w:p>
          <w:p w14:paraId="6B88245E" w14:textId="71CE6AB4" w:rsidR="00FB00FF" w:rsidRPr="00AF6BA7" w:rsidRDefault="00000000">
            <w:pPr>
              <w:spacing w:after="60"/>
              <w:rPr>
                <w:sz w:val="18"/>
                <w:szCs w:val="18"/>
              </w:rPr>
            </w:pPr>
            <w:r w:rsidRPr="00AF6BA7">
              <w:rPr>
                <w:rFonts w:ascii="Arial" w:eastAsia="Arial" w:hAnsi="Arial" w:cs="Arial"/>
                <w:color w:val="2D2D35"/>
                <w:sz w:val="18"/>
                <w:szCs w:val="18"/>
              </w:rPr>
              <w:t>A complete four-phase worked example (EuroBank Sentinel</w:t>
            </w:r>
            <w:r w:rsidR="00AF6BA7" w:rsidRPr="00AF6BA7">
              <w:rPr>
                <w:rFonts w:ascii="Arial" w:eastAsia="Arial" w:hAnsi="Arial" w:cs="Arial"/>
                <w:color w:val="2D2D35"/>
                <w:sz w:val="18"/>
                <w:szCs w:val="18"/>
              </w:rPr>
              <w:t>, a</w:t>
            </w:r>
            <w:r w:rsidRPr="00AF6BA7">
              <w:rPr>
                <w:rFonts w:ascii="Arial" w:eastAsia="Arial" w:hAnsi="Arial" w:cs="Arial"/>
                <w:color w:val="2D2D35"/>
                <w:sz w:val="18"/>
                <w:szCs w:val="18"/>
              </w:rPr>
              <w:t xml:space="preserve"> DORA-regulated bank, AI fraud detection) is published at marcobrondani.com/osra. It demonstrates what the assessment produces and what the findings look like.</w:t>
            </w:r>
          </w:p>
        </w:tc>
      </w:tr>
    </w:tbl>
    <w:p w14:paraId="42047A9A" w14:textId="77777777" w:rsidR="00FB00FF" w:rsidRDefault="00FB00FF">
      <w:pPr>
        <w:pBdr>
          <w:bottom w:val="single" w:sz="1" w:space="0" w:color="E0DDD6"/>
        </w:pBdr>
        <w:spacing w:before="100" w:after="80"/>
      </w:pPr>
    </w:p>
    <w:p w14:paraId="11ADB4BB" w14:textId="77777777" w:rsidR="00AF6BA7" w:rsidRDefault="00AF6BA7">
      <w:pPr>
        <w:pBdr>
          <w:bottom w:val="single" w:sz="1" w:space="0" w:color="E0DDD6"/>
        </w:pBdr>
        <w:spacing w:before="100" w:after="80"/>
      </w:pPr>
    </w:p>
    <w:p w14:paraId="73500C86" w14:textId="77777777" w:rsidR="00AF6BA7" w:rsidRDefault="00AF6BA7">
      <w:pPr>
        <w:pBdr>
          <w:bottom w:val="single" w:sz="1" w:space="0" w:color="E0DDD6"/>
        </w:pBdr>
        <w:spacing w:before="100" w:after="80"/>
      </w:pPr>
    </w:p>
    <w:p w14:paraId="751448F4" w14:textId="77777777" w:rsidR="00AF6BA7" w:rsidRDefault="00AF6BA7">
      <w:pPr>
        <w:pBdr>
          <w:bottom w:val="single" w:sz="1" w:space="0" w:color="E0DDD6"/>
        </w:pBdr>
        <w:spacing w:before="100" w:after="80"/>
      </w:pPr>
    </w:p>
    <w:p w14:paraId="736CC19D" w14:textId="77777777" w:rsidR="00AF6BA7" w:rsidRDefault="00AF6BA7">
      <w:pPr>
        <w:pBdr>
          <w:bottom w:val="single" w:sz="1" w:space="0" w:color="E0DDD6"/>
        </w:pBdr>
        <w:spacing w:before="100" w:after="80"/>
      </w:pPr>
    </w:p>
    <w:p w14:paraId="4E22DFE0" w14:textId="77777777" w:rsidR="00AF6BA7" w:rsidRDefault="00AF6BA7">
      <w:pPr>
        <w:pBdr>
          <w:bottom w:val="single" w:sz="1" w:space="0" w:color="E0DDD6"/>
        </w:pBdr>
        <w:spacing w:before="100" w:after="80"/>
      </w:pPr>
    </w:p>
    <w:p w14:paraId="56373867" w14:textId="77777777" w:rsidR="00AF6BA7" w:rsidRDefault="00AF6BA7">
      <w:pPr>
        <w:pBdr>
          <w:bottom w:val="single" w:sz="1" w:space="0" w:color="E0DDD6"/>
        </w:pBdr>
        <w:spacing w:before="100" w:after="80"/>
      </w:pPr>
    </w:p>
    <w:p w14:paraId="6824ED45" w14:textId="77777777" w:rsidR="00AF6BA7" w:rsidRDefault="00AF6BA7">
      <w:pPr>
        <w:pBdr>
          <w:bottom w:val="single" w:sz="1" w:space="0" w:color="E0DDD6"/>
        </w:pBdr>
        <w:spacing w:before="100" w:after="80"/>
      </w:pPr>
    </w:p>
    <w:p w14:paraId="08D64CCE" w14:textId="77777777" w:rsidR="00AF6BA7" w:rsidRDefault="00AF6BA7">
      <w:pPr>
        <w:pBdr>
          <w:bottom w:val="single" w:sz="1" w:space="0" w:color="E0DDD6"/>
        </w:pBdr>
        <w:spacing w:before="100" w:after="80"/>
      </w:pPr>
    </w:p>
    <w:p w14:paraId="40E0470D" w14:textId="77777777" w:rsidR="00FB00FF" w:rsidRDefault="00000000">
      <w:pPr>
        <w:spacing w:after="20"/>
        <w:jc w:val="center"/>
      </w:pPr>
      <w:r>
        <w:rPr>
          <w:rFonts w:ascii="Arial" w:eastAsia="Arial" w:hAnsi="Arial" w:cs="Arial"/>
          <w:b/>
          <w:bCs/>
          <w:color w:val="0F0F1A"/>
          <w:sz w:val="17"/>
          <w:szCs w:val="17"/>
        </w:rPr>
        <w:t>Marco Brondani</w:t>
      </w:r>
    </w:p>
    <w:p w14:paraId="7712A725" w14:textId="77777777" w:rsidR="00FB00FF" w:rsidRDefault="00000000">
      <w:pPr>
        <w:spacing w:after="20"/>
        <w:jc w:val="center"/>
      </w:pPr>
      <w:r>
        <w:rPr>
          <w:rFonts w:ascii="Arial" w:eastAsia="Arial" w:hAnsi="Arial" w:cs="Arial"/>
          <w:color w:val="5A5865"/>
          <w:sz w:val="15"/>
          <w:szCs w:val="15"/>
        </w:rPr>
        <w:t>30 years across CISO and CTO roles  ·  US, Europe, Japan, APAC  ·  Author of The Split Problem (2026)</w:t>
      </w:r>
    </w:p>
    <w:p w14:paraId="21A32616" w14:textId="32B666B8" w:rsidR="00FB00FF" w:rsidRDefault="00000000">
      <w:pPr>
        <w:spacing w:after="20"/>
        <w:jc w:val="center"/>
      </w:pPr>
      <w:r>
        <w:rPr>
          <w:rFonts w:ascii="Arial" w:eastAsia="Arial" w:hAnsi="Arial" w:cs="Arial"/>
          <w:color w:val="5A5865"/>
          <w:sz w:val="15"/>
          <w:szCs w:val="15"/>
        </w:rPr>
        <w:t>m@marcobrondani.com  ·  marcobrondani.com  ·  linkedin.com/in/marcobrondani</w:t>
      </w:r>
    </w:p>
    <w:sectPr w:rsidR="00FB00FF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1E513C"/>
    <w:multiLevelType w:val="hybridMultilevel"/>
    <w:tmpl w:val="8DE4FB20"/>
    <w:lvl w:ilvl="0" w:tplc="9488C5C0">
      <w:start w:val="1"/>
      <w:numFmt w:val="bullet"/>
      <w:lvlText w:val="●"/>
      <w:lvlJc w:val="left"/>
      <w:pPr>
        <w:ind w:left="720" w:hanging="360"/>
      </w:pPr>
    </w:lvl>
    <w:lvl w:ilvl="1" w:tplc="D0968F84">
      <w:start w:val="1"/>
      <w:numFmt w:val="bullet"/>
      <w:lvlText w:val="○"/>
      <w:lvlJc w:val="left"/>
      <w:pPr>
        <w:ind w:left="1440" w:hanging="360"/>
      </w:pPr>
    </w:lvl>
    <w:lvl w:ilvl="2" w:tplc="30F6B6E8">
      <w:start w:val="1"/>
      <w:numFmt w:val="bullet"/>
      <w:lvlText w:val="■"/>
      <w:lvlJc w:val="left"/>
      <w:pPr>
        <w:ind w:left="2160" w:hanging="360"/>
      </w:pPr>
    </w:lvl>
    <w:lvl w:ilvl="3" w:tplc="606A5B84">
      <w:start w:val="1"/>
      <w:numFmt w:val="bullet"/>
      <w:lvlText w:val="●"/>
      <w:lvlJc w:val="left"/>
      <w:pPr>
        <w:ind w:left="2880" w:hanging="360"/>
      </w:pPr>
    </w:lvl>
    <w:lvl w:ilvl="4" w:tplc="3A0407F8">
      <w:start w:val="1"/>
      <w:numFmt w:val="bullet"/>
      <w:lvlText w:val="○"/>
      <w:lvlJc w:val="left"/>
      <w:pPr>
        <w:ind w:left="3600" w:hanging="360"/>
      </w:pPr>
    </w:lvl>
    <w:lvl w:ilvl="5" w:tplc="FFF4C406">
      <w:start w:val="1"/>
      <w:numFmt w:val="bullet"/>
      <w:lvlText w:val="■"/>
      <w:lvlJc w:val="left"/>
      <w:pPr>
        <w:ind w:left="4320" w:hanging="360"/>
      </w:pPr>
    </w:lvl>
    <w:lvl w:ilvl="6" w:tplc="9C060638">
      <w:start w:val="1"/>
      <w:numFmt w:val="bullet"/>
      <w:lvlText w:val="●"/>
      <w:lvlJc w:val="left"/>
      <w:pPr>
        <w:ind w:left="5040" w:hanging="360"/>
      </w:pPr>
    </w:lvl>
    <w:lvl w:ilvl="7" w:tplc="FDC04C40">
      <w:start w:val="1"/>
      <w:numFmt w:val="bullet"/>
      <w:lvlText w:val="●"/>
      <w:lvlJc w:val="left"/>
      <w:pPr>
        <w:ind w:left="5760" w:hanging="360"/>
      </w:pPr>
    </w:lvl>
    <w:lvl w:ilvl="8" w:tplc="9522E5EE">
      <w:start w:val="1"/>
      <w:numFmt w:val="bullet"/>
      <w:lvlText w:val="●"/>
      <w:lvlJc w:val="left"/>
      <w:pPr>
        <w:ind w:left="6480" w:hanging="360"/>
      </w:pPr>
    </w:lvl>
  </w:abstractNum>
  <w:num w:numId="1" w16cid:durableId="15809391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0FF"/>
    <w:rsid w:val="00AF6BA7"/>
    <w:rsid w:val="00F00367"/>
    <w:rsid w:val="00FB0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7D661DC"/>
  <w15:docId w15:val="{7C37B265-45CF-634E-86C8-47494940B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D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373</Words>
  <Characters>2382</Characters>
  <Application>Microsoft Office Word</Application>
  <DocSecurity>0</DocSecurity>
  <Lines>61</Lines>
  <Paragraphs>42</Paragraphs>
  <ScaleCrop>false</ScaleCrop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Marco Brondani</cp:lastModifiedBy>
  <cp:revision>2</cp:revision>
  <cp:lastPrinted>2026-08-17T14:01:00Z</cp:lastPrinted>
  <dcterms:created xsi:type="dcterms:W3CDTF">2026-08-17T13:55:00Z</dcterms:created>
  <dcterms:modified xsi:type="dcterms:W3CDTF">2026-08-17T14:03:00Z</dcterms:modified>
</cp:coreProperties>
</file>