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rFonts w:eastAsia="Arial"/>
                                <w:sz w:val="64"/>
                                <w:lang w:val="en-GB" w:eastAsia="en-US"/>
                              </w:rPr>
                              <w:t xml:space="preserve"> </w:t>
                            </w:r>
                            <w:r>
                              <w:rPr>
                                <w:sz w:val="64"/>
                                <w:lang w:val="en-GB" w:eastAsia="en-US"/>
                              </w:rPr>
                              <w:t xml:space="preserve">3GPP TS 33.514 </w:t>
                            </w:r>
                            <w:r>
                              <w:rPr>
                                <w:lang w:val="en-GB" w:eastAsia="en-US"/>
                              </w:rPr>
                              <w:t xml:space="preserve">V19.1.0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rFonts w:eastAsia="Arial"/>
                          <w:sz w:val="64"/>
                          <w:lang w:val="en-GB" w:eastAsia="en-US"/>
                        </w:rPr>
                        <w:t xml:space="preserve"> </w:t>
                      </w:r>
                      <w:r>
                        <w:rPr>
                          <w:sz w:val="64"/>
                          <w:lang w:val="en-GB" w:eastAsia="en-US"/>
                        </w:rPr>
                        <w:t xml:space="preserve">3GPP TS 33.514 </w:t>
                      </w:r>
                      <w:r>
                        <w:rPr>
                          <w:lang w:val="en-GB" w:eastAsia="en-US"/>
                        </w:rPr>
                        <w:t xml:space="preserve">V19.1.0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Unified Data Management (UDM) network product class</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Unified Data Management (UDM) network product class</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1627798648"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color w:val="0000FF"/>
                                <w:lang w:val="en-GB" w:eastAsia="en-US"/>
                              </w:rPr>
                              <w:tab/>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1492150843"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color w:val="0000FF"/>
                          <w:lang w:val="en-GB" w:eastAsia="en-US"/>
                        </w:rPr>
                        <w:tab/>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UDM, product class, security, 5G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UDM, product class, security, 5G</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53454897">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53454898">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53454899">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53454900">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53454901">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53454902">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53454903">
            <w:r>
              <w:rPr>
                <w:rStyle w:val="IndexLink"/>
                <w:lang w:val="en-US" w:eastAsia="en-US"/>
              </w:rPr>
              <w:t>7</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UDM-specific security requirements and related test cases</w:t>
            <w:tab/>
          </w:r>
          <w:hyperlink w:anchor="__RefHeading___Toc153454904">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53454905">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Security functional requirements on the UDM derived from 3GPP specifications and related test cases</w:t>
            <w:tab/>
          </w:r>
          <w:hyperlink w:anchor="__RefHeading___Toc153454906">
            <w:r>
              <w:rPr>
                <w:rStyle w:val="IndexLink"/>
                <w:lang w:val="en-US" w:eastAsia="en-US"/>
              </w:rPr>
              <w:t>7</w:t>
            </w:r>
          </w:hyperlink>
        </w:p>
        <w:p>
          <w:pPr>
            <w:pStyle w:val="TOC3"/>
            <w:rPr>
              <w:rFonts w:ascii="Calibri" w:hAnsi="Calibri" w:cs="Calibri"/>
              <w:sz w:val="22"/>
              <w:szCs w:val="22"/>
              <w:lang w:val="en-US" w:eastAsia="en-US"/>
            </w:rPr>
          </w:pPr>
          <w:r>
            <w:rPr>
              <w:rFonts w:eastAsia="SimSun;宋体"/>
              <w:lang w:val="en-US" w:eastAsia="en-US"/>
            </w:rPr>
            <w:t>4.2.0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53454907">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User Privacy Procedure</w:t>
            <w:tab/>
          </w:r>
          <w:hyperlink w:anchor="__RefHeading___Toc153454908">
            <w:r>
              <w:rPr>
                <w:rStyle w:val="IndexLink"/>
                <w:lang w:val="en-US" w:eastAsia="en-US"/>
              </w:rPr>
              <w:t>7</w:t>
            </w:r>
          </w:hyperlink>
        </w:p>
        <w:p>
          <w:pPr>
            <w:pStyle w:val="TOC4"/>
            <w:rPr>
              <w:rFonts w:ascii="Calibri" w:hAnsi="Calibri" w:cs="Calibri"/>
              <w:sz w:val="22"/>
              <w:szCs w:val="22"/>
              <w:lang w:val="en-US" w:eastAsia="en-US"/>
            </w:rPr>
          </w:pPr>
          <w:r>
            <w:rPr>
              <w:lang w:val="en-US" w:eastAsia="en-US"/>
            </w:rPr>
            <w:t>4.2.1.1</w:t>
          </w:r>
          <w:r>
            <w:rPr>
              <w:rFonts w:cs="Calibri" w:ascii="Calibri" w:hAnsi="Calibri"/>
              <w:sz w:val="22"/>
              <w:szCs w:val="22"/>
              <w:lang w:val="en-US" w:eastAsia="en-US"/>
            </w:rPr>
            <w:tab/>
          </w:r>
          <w:r>
            <w:rPr>
              <w:lang w:val="en-US" w:eastAsia="en-US"/>
            </w:rPr>
            <w:t>De-concealment of SUPI from the SUCI based on the protection scheme used to generate the SUCI</w:t>
            <w:tab/>
          </w:r>
          <w:hyperlink w:anchor="__RefHeading___Toc153454909">
            <w:r>
              <w:rPr>
                <w:rStyle w:val="IndexLink"/>
                <w:lang w:val="en-US" w:eastAsia="en-US"/>
              </w:rPr>
              <w:t>7</w:t>
            </w:r>
          </w:hyperlink>
        </w:p>
        <w:p>
          <w:pPr>
            <w:pStyle w:val="TOC4"/>
            <w:rPr>
              <w:rFonts w:ascii="Calibri" w:hAnsi="Calibri" w:cs="Calibri"/>
              <w:sz w:val="22"/>
              <w:szCs w:val="22"/>
              <w:lang w:val="en-US" w:eastAsia="en-US"/>
            </w:rPr>
          </w:pPr>
          <w:r>
            <w:rPr>
              <w:lang w:val="en-US" w:eastAsia="en-US"/>
            </w:rPr>
            <w:t>4.2.1.2</w:t>
          </w:r>
          <w:r>
            <w:rPr>
              <w:rFonts w:cs="Calibri" w:ascii="Calibri" w:hAnsi="Calibri"/>
              <w:sz w:val="22"/>
              <w:szCs w:val="22"/>
              <w:lang w:val="en-US" w:eastAsia="en-US"/>
            </w:rPr>
            <w:tab/>
          </w:r>
          <w:r>
            <w:rPr>
              <w:lang w:val="en-US" w:eastAsia="en-US"/>
            </w:rPr>
            <w:t>Rejection of SUCIs using an ECIES protection scheme with an invalid public key.</w:t>
            <w:tab/>
          </w:r>
          <w:hyperlink w:anchor="__RefHeading___Toc153454910">
            <w:r>
              <w:rPr>
                <w:rStyle w:val="IndexLink"/>
                <w:lang w:val="en-US" w:eastAsia="en-US"/>
              </w:rPr>
              <w:t>8</w:t>
            </w:r>
          </w:hyperlink>
        </w:p>
        <w:p>
          <w:pPr>
            <w:pStyle w:val="TOC4"/>
            <w:rPr>
              <w:rFonts w:ascii="Calibri" w:hAnsi="Calibri" w:cs="Calibri"/>
              <w:sz w:val="22"/>
              <w:szCs w:val="22"/>
              <w:lang w:val="en-US" w:eastAsia="en-US"/>
            </w:rPr>
          </w:pPr>
          <w:r>
            <w:rPr>
              <w:lang w:val="en-US" w:eastAsia="en-US"/>
            </w:rPr>
            <w:t>4.2.1.3</w:t>
          </w:r>
          <w:r>
            <w:rPr>
              <w:rFonts w:cs="Calibri" w:ascii="Calibri" w:hAnsi="Calibri"/>
              <w:sz w:val="22"/>
              <w:szCs w:val="22"/>
              <w:lang w:val="en-US" w:eastAsia="en-US"/>
            </w:rPr>
            <w:tab/>
          </w:r>
          <w:r>
            <w:rPr>
              <w:lang w:val="en-US" w:eastAsia="en-US"/>
            </w:rPr>
            <w:t>Rejection of SUCIs using an uncompressed point with Profile B.</w:t>
            <w:tab/>
          </w:r>
          <w:hyperlink w:anchor="__RefHeading___Toc153454911">
            <w:r>
              <w:rPr>
                <w:rStyle w:val="IndexLink"/>
                <w:lang w:val="en-US" w:eastAsia="en-US"/>
              </w:rPr>
              <w:t>9</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Authentication and key agreement procedure</w:t>
            <w:tab/>
          </w:r>
          <w:hyperlink w:anchor="__RefHeading___Toc153454912">
            <w:r>
              <w:rPr>
                <w:rStyle w:val="IndexLink"/>
                <w:lang w:val="en-US" w:eastAsia="en-US"/>
              </w:rPr>
              <w:t>10</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Synchronization failure handling</w:t>
            <w:tab/>
          </w:r>
          <w:hyperlink w:anchor="__RefHeading___Toc153454913">
            <w:r>
              <w:rPr>
                <w:rStyle w:val="IndexLink"/>
                <w:lang w:val="en-US" w:eastAsia="en-US"/>
              </w:rPr>
              <w:t>10</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Storing of authentication status of UE by UDM</w:t>
            <w:tab/>
          </w:r>
          <w:hyperlink w:anchor="__RefHeading___Toc153454914">
            <w:r>
              <w:rPr>
                <w:rStyle w:val="IndexLink"/>
                <w:lang w:val="en-US" w:eastAsia="en-US"/>
              </w:rPr>
              <w:t>11</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53454915">
            <w:r>
              <w:rPr>
                <w:rStyle w:val="IndexLink"/>
                <w:lang w:val="en-US" w:eastAsia="en-US"/>
              </w:rPr>
              <w:t>12</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53454916">
            <w:r>
              <w:rPr>
                <w:rStyle w:val="IndexLink"/>
                <w:lang w:val="en-US" w:eastAsia="en-US"/>
              </w:rPr>
              <w:t>12</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53454917">
            <w:r>
              <w:rPr>
                <w:rStyle w:val="IndexLink"/>
                <w:lang w:val="en-US" w:eastAsia="en-US"/>
              </w:rPr>
              <w:t>12</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53454918">
            <w:r>
              <w:rPr>
                <w:rStyle w:val="IndexLink"/>
                <w:lang w:val="en-US" w:eastAsia="en-US"/>
              </w:rPr>
              <w:t>12</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53454919">
            <w:r>
              <w:rPr>
                <w:rStyle w:val="IndexLink"/>
                <w:lang w:val="en-US" w:eastAsia="en-US"/>
              </w:rPr>
              <w:t>12</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53454920">
            <w:r>
              <w:rPr>
                <w:rStyle w:val="IndexLink"/>
                <w:lang w:val="en-US" w:eastAsia="en-US"/>
              </w:rPr>
              <w:t>12</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53454921">
            <w:r>
              <w:rPr>
                <w:rStyle w:val="IndexLink"/>
                <w:lang w:val="en-US" w:eastAsia="en-US"/>
              </w:rPr>
              <w:t>12</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53454922">
            <w:r>
              <w:rPr>
                <w:rStyle w:val="IndexLink"/>
                <w:lang w:val="en-US" w:eastAsia="en-US"/>
              </w:rPr>
              <w:t>12</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53454923">
            <w:r>
              <w:rPr>
                <w:rStyle w:val="IndexLink"/>
                <w:lang w:val="en-US" w:eastAsia="en-US"/>
              </w:rPr>
              <w:t>12</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53454924">
            <w:r>
              <w:rPr>
                <w:rStyle w:val="IndexLink"/>
                <w:lang w:val="en-US" w:eastAsia="en-US"/>
              </w:rPr>
              <w:t>12</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53454925">
            <w:r>
              <w:rPr>
                <w:rStyle w:val="IndexLink"/>
                <w:lang w:val="en-US" w:eastAsia="en-US"/>
              </w:rPr>
              <w:t>12</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53454926">
            <w:r>
              <w:rPr>
                <w:rStyle w:val="IndexLink"/>
                <w:lang w:val="en-US" w:eastAsia="en-US"/>
              </w:rPr>
              <w:t>12</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53454927">
            <w:r>
              <w:rPr>
                <w:rStyle w:val="IndexLink"/>
                <w:lang w:val="en-US" w:eastAsia="en-US"/>
              </w:rPr>
              <w:t>12</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53454928">
            <w:r>
              <w:rPr>
                <w:rStyle w:val="IndexLink"/>
                <w:lang w:val="en-US" w:eastAsia="en-US"/>
              </w:rPr>
              <w:t>12</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53454929">
            <w:r>
              <w:rPr>
                <w:rStyle w:val="IndexLink"/>
                <w:lang w:val="en-US" w:eastAsia="en-US"/>
              </w:rPr>
              <w:t>13</w:t>
            </w:r>
          </w:hyperlink>
        </w:p>
        <w:p>
          <w:pPr>
            <w:pStyle w:val="TOC3"/>
            <w:rPr>
              <w:rFonts w:ascii="Calibri" w:hAnsi="Calibri" w:cs="Calibri"/>
              <w:sz w:val="22"/>
              <w:szCs w:val="22"/>
              <w:lang w:val="en-US" w:eastAsia="en-US"/>
            </w:rPr>
          </w:pPr>
          <w:r>
            <w:rPr>
              <w:lang w:val="en-US" w:eastAsia="en-US"/>
            </w:rPr>
            <w:t>4.2.7</w:t>
          </w:r>
          <w:r>
            <w:rPr>
              <w:rFonts w:cs="Calibri" w:ascii="Calibri" w:hAnsi="Calibri"/>
              <w:sz w:val="22"/>
              <w:szCs w:val="22"/>
              <w:lang w:val="en-US" w:eastAsia="en-US"/>
            </w:rPr>
            <w:tab/>
          </w:r>
          <w:r>
            <w:rPr>
              <w:lang w:val="en-US" w:eastAsia="en-US"/>
            </w:rPr>
            <w:t>User plane security procedures</w:t>
            <w:tab/>
          </w:r>
          <w:hyperlink w:anchor="__RefHeading___Toc153454930">
            <w:r>
              <w:rPr>
                <w:rStyle w:val="IndexLink"/>
                <w:lang w:val="en-US" w:eastAsia="en-US"/>
              </w:rPr>
              <w:t>13</w:t>
            </w:r>
          </w:hyperlink>
        </w:p>
        <w:p>
          <w:pPr>
            <w:pStyle w:val="TOC4"/>
            <w:rPr>
              <w:rFonts w:ascii="Calibri" w:hAnsi="Calibri" w:cs="Calibri"/>
              <w:sz w:val="22"/>
              <w:szCs w:val="22"/>
              <w:lang w:val="en-US" w:eastAsia="en-US"/>
            </w:rPr>
          </w:pPr>
          <w:r>
            <w:rPr>
              <w:lang w:val="en-US" w:eastAsia="en-US"/>
            </w:rPr>
            <w:t>4.2.7.1 UP</w:t>
          </w:r>
          <w:r>
            <w:rPr>
              <w:rFonts w:cs="Calibri" w:ascii="Calibri" w:hAnsi="Calibri"/>
              <w:sz w:val="22"/>
              <w:szCs w:val="22"/>
              <w:lang w:val="en-US" w:eastAsia="en-US"/>
            </w:rPr>
            <w:tab/>
          </w:r>
          <w:r>
            <w:rPr>
              <w:lang w:val="en-US" w:eastAsia="en-US"/>
            </w:rPr>
            <w:t>Security enforcement configuration for TSC service</w:t>
            <w:tab/>
          </w:r>
          <w:hyperlink w:anchor="__RefHeading___Toc153454931">
            <w:r>
              <w:rPr>
                <w:rStyle w:val="IndexLink"/>
                <w:lang w:val="en-US" w:eastAsia="en-US"/>
              </w:rPr>
              <w:t>13</w:t>
            </w:r>
          </w:hyperlink>
        </w:p>
        <w:p>
          <w:pPr>
            <w:pStyle w:val="TOC3"/>
            <w:rPr>
              <w:rFonts w:ascii="Calibri" w:hAnsi="Calibri" w:cs="Calibri"/>
              <w:sz w:val="22"/>
              <w:szCs w:val="22"/>
              <w:lang w:val="en-US" w:eastAsia="en-US"/>
            </w:rPr>
          </w:pPr>
          <w:r>
            <w:rPr>
              <w:lang w:val="en-US" w:eastAsia="en-US"/>
            </w:rPr>
            <w:t>4.2.8</w:t>
          </w:r>
          <w:r>
            <w:rPr>
              <w:rFonts w:cs="Calibri" w:ascii="Calibri" w:hAnsi="Calibri"/>
              <w:sz w:val="22"/>
              <w:szCs w:val="22"/>
              <w:lang w:val="en-US" w:eastAsia="en-US"/>
            </w:rPr>
            <w:tab/>
          </w:r>
          <w:r>
            <w:rPr>
              <w:lang w:val="en-US" w:eastAsia="en-US"/>
            </w:rPr>
            <w:t>User plane security procedures</w:t>
            <w:tab/>
          </w:r>
          <w:hyperlink w:anchor="__RefHeading___Toc153454932">
            <w:r>
              <w:rPr>
                <w:rStyle w:val="IndexLink"/>
                <w:lang w:val="en-US" w:eastAsia="en-US"/>
              </w:rPr>
              <w:t>14</w:t>
            </w:r>
          </w:hyperlink>
        </w:p>
        <w:p>
          <w:pPr>
            <w:pStyle w:val="TOC4"/>
            <w:rPr>
              <w:rFonts w:ascii="Calibri" w:hAnsi="Calibri" w:cs="Calibri"/>
              <w:sz w:val="22"/>
              <w:szCs w:val="22"/>
              <w:lang w:val="en-US" w:eastAsia="en-US"/>
            </w:rPr>
          </w:pPr>
          <w:r>
            <w:rPr>
              <w:lang w:val="en-US" w:eastAsia="en-US"/>
            </w:rPr>
            <w:t>4.2.8.1</w:t>
          </w:r>
          <w:r>
            <w:rPr>
              <w:rFonts w:cs="Calibri" w:ascii="Calibri" w:hAnsi="Calibri"/>
              <w:sz w:val="22"/>
              <w:szCs w:val="22"/>
              <w:lang w:val="en-US" w:eastAsia="en-US"/>
            </w:rPr>
            <w:tab/>
          </w:r>
          <w:r>
            <w:rPr>
              <w:lang w:val="en-US" w:eastAsia="en-US"/>
            </w:rPr>
            <w:t>UP security policy configuration for 5G LAN service</w:t>
            <w:tab/>
          </w:r>
          <w:hyperlink w:anchor="__RefHeading___Toc153454933">
            <w:r>
              <w:rPr>
                <w:rStyle w:val="IndexLink"/>
                <w:lang w:val="en-US" w:eastAsia="en-US"/>
              </w:rPr>
              <w:t>14</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UDM-specific adaptations of hardening requirements and related test cases</w:t>
            <w:tab/>
          </w:r>
          <w:hyperlink w:anchor="__RefHeading___Toc153454934">
            <w:r>
              <w:rPr>
                <w:rStyle w:val="IndexLink"/>
                <w:lang w:val="en-US" w:eastAsia="en-US"/>
              </w:rPr>
              <w:t>15</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53454935">
            <w:r>
              <w:rPr>
                <w:rStyle w:val="IndexLink"/>
                <w:lang w:val="en-US" w:eastAsia="en-US"/>
              </w:rPr>
              <w:t>15</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53454936">
            <w:r>
              <w:rPr>
                <w:rStyle w:val="IndexLink"/>
                <w:lang w:val="en-US" w:eastAsia="en-US"/>
              </w:rPr>
              <w:t>15</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53454937">
            <w:r>
              <w:rPr>
                <w:rStyle w:val="IndexLink"/>
                <w:lang w:val="en-US" w:eastAsia="en-US"/>
              </w:rPr>
              <w:t>15</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53454938">
            <w:r>
              <w:rPr>
                <w:rStyle w:val="IndexLink"/>
                <w:lang w:val="en-US" w:eastAsia="en-US"/>
              </w:rPr>
              <w:t>15</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53454939">
            <w:r>
              <w:rPr>
                <w:rStyle w:val="IndexLink"/>
                <w:lang w:val="en-US" w:eastAsia="en-US"/>
              </w:rPr>
              <w:t>15</w:t>
            </w:r>
          </w:hyperlink>
        </w:p>
        <w:p>
          <w:pPr>
            <w:pStyle w:val="TOC3"/>
            <w:rPr>
              <w:rFonts w:ascii="Calibri" w:hAnsi="Calibri" w:cs="Calibri"/>
              <w:sz w:val="22"/>
              <w:szCs w:val="22"/>
              <w:lang w:val="en-US" w:eastAsia="en-US"/>
            </w:rPr>
          </w:pPr>
          <w:r>
            <w:rPr>
              <w:rFonts w:eastAsia="SimSun;宋体"/>
              <w:lang w:val="en-US" w:eastAsia="en-US"/>
            </w:rPr>
            <w:t>4.3.6</w:t>
          </w:r>
          <w:r>
            <w:rPr>
              <w:rFonts w:cs="Calibri" w:ascii="Calibri" w:hAnsi="Calibri"/>
              <w:sz w:val="22"/>
              <w:szCs w:val="22"/>
              <w:lang w:val="en-US" w:eastAsia="en-US"/>
            </w:rPr>
            <w:tab/>
          </w:r>
          <w:r>
            <w:rPr>
              <w:rFonts w:eastAsia="SimSun;宋体"/>
              <w:lang w:val="en-US" w:eastAsia="en-US"/>
            </w:rPr>
            <w:t>Network functions in service-based architecture</w:t>
          </w:r>
          <w:r>
            <w:rPr>
              <w:lang w:val="en-US" w:eastAsia="en-US"/>
            </w:rPr>
            <w:tab/>
          </w:r>
          <w:hyperlink w:anchor="__RefHeading___Toc153454940">
            <w:r>
              <w:rPr>
                <w:rStyle w:val="IndexLink"/>
                <w:lang w:val="en-US" w:eastAsia="en-US"/>
              </w:rPr>
              <w:t>15</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UDM-specific adaptations of basic vulnerability testing requirements and related test cases</w:t>
            <w:tab/>
          </w:r>
          <w:hyperlink w:anchor="__RefHeading___Toc153454941">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53454942">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53454943">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53454944">
            <w:r>
              <w:rPr>
                <w:rStyle w:val="IndexLink"/>
                <w:lang w:val="en-US" w:eastAsia="en-US"/>
              </w:rPr>
              <w:t>16</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53454945">
            <w:r>
              <w:rPr>
                <w:rStyle w:val="IndexLink"/>
                <w:lang w:val="en-US" w:eastAsia="en-US"/>
              </w:rPr>
              <w:t>16</w:t>
            </w:r>
          </w:hyperlink>
        </w:p>
        <w:p>
          <w:pPr>
            <w:pStyle w:val="TOC8"/>
            <w:rPr>
              <w:rFonts w:ascii="Calibri" w:hAnsi="Calibri" w:cs="Calibri"/>
              <w:szCs w:val="22"/>
              <w:lang w:val="en-US" w:eastAsia="en-US"/>
            </w:rPr>
          </w:pPr>
          <w:r>
            <w:rPr>
              <w:b w:val="false"/>
              <w:lang w:val="en-US" w:eastAsia="en-US"/>
            </w:rPr>
            <w:t>Annex A (informative):</w:t>
            <w:tab/>
            <w:t>Change history</w:t>
            <w:tab/>
          </w:r>
          <w:hyperlink w:anchor="__RefHeading___Toc153454946">
            <w:r>
              <w:rPr>
                <w:rStyle w:val="IndexLink"/>
                <w:b w:val="false"/>
                <w:lang w:val="en-US" w:eastAsia="en-US"/>
              </w:rPr>
              <w:t>17</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2" w:name="__RefHeading___Toc153454897"/>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r>
        <w:br w:type="page"/>
      </w:r>
    </w:p>
    <w:p>
      <w:pPr>
        <w:pStyle w:val="Heading1"/>
        <w:rPr/>
      </w:pPr>
      <w:bookmarkStart w:id="13" w:name="__RefHeading___Toc153454898"/>
      <w:bookmarkEnd w:id="13"/>
      <w:r>
        <w:rPr/>
        <w:t>1</w:t>
        <w:tab/>
        <w:t>Scope</w:t>
      </w:r>
    </w:p>
    <w:p>
      <w:pPr>
        <w:pStyle w:val="Normal"/>
        <w:rPr/>
      </w:pPr>
      <w:r>
        <w:rPr/>
        <w:t>The present document contains requirements and test cases that are specific to the UDM network product class. It refers to the Catalogue of General Security Assurance Requirements and formulates specific adaptions of the requirements and test cases. It also specifies the requirements and test cases unique to the UDM network product class.</w:t>
      </w:r>
    </w:p>
    <w:p>
      <w:pPr>
        <w:pStyle w:val="Heading1"/>
        <w:rPr/>
      </w:pPr>
      <w:bookmarkStart w:id="14" w:name="__RefHeading___Toc153454899"/>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bookmarkStart w:id="19" w:name="OLE_LINK4"/>
      <w:bookmarkStart w:id="20" w:name="OLE_LINK3"/>
      <w:bookmarkStart w:id="21" w:name="OLE_LINK2"/>
      <w:bookmarkStart w:id="22" w:name="OLE_LINK1"/>
      <w:bookmarkEnd w:id="19"/>
      <w:bookmarkEnd w:id="20"/>
      <w:bookmarkEnd w:id="21"/>
      <w:bookmarkEnd w:id="22"/>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3GPP TR 33.926 "Security Assurance Specification (SCAS) threats and critical assets in 3GPP network product classes".</w:t>
      </w:r>
    </w:p>
    <w:p>
      <w:pPr>
        <w:pStyle w:val="EX"/>
        <w:rPr/>
      </w:pPr>
      <w:r>
        <w:rPr/>
        <w:t>[5]</w:t>
        <w:tab/>
        <w:t>3GPP TS 23.501: "System Architecture for the 5G System (5GS)".</w:t>
      </w:r>
    </w:p>
    <w:p>
      <w:pPr>
        <w:pStyle w:val="EX"/>
        <w:rPr/>
      </w:pPr>
      <w:r>
        <w:rPr/>
        <w:t>[6]</w:t>
        <w:tab/>
        <w:t>3GPP TS 23.003: "Numbering, addressing and identification".</w:t>
      </w:r>
    </w:p>
    <w:p>
      <w:pPr>
        <w:pStyle w:val="EX"/>
        <w:rPr/>
      </w:pPr>
      <w:r>
        <w:rPr/>
        <w:t>[7]</w:t>
        <w:tab/>
        <w:t>3GPP TS 33.102: "3G security; Security architecture".</w:t>
      </w:r>
    </w:p>
    <w:p>
      <w:pPr>
        <w:pStyle w:val="EX"/>
        <w:rPr/>
      </w:pPr>
      <w:r>
        <w:rPr/>
        <w:t>[8]</w:t>
        <w:tab/>
        <w:t>SECG SEC 1: Recommended Elliptic Curve Cryptography, Version 2.0, 2009. Available http://www.secg.org/sec1-v2.pdf</w:t>
      </w:r>
    </w:p>
    <w:p>
      <w:pPr>
        <w:pStyle w:val="EX"/>
        <w:rPr/>
      </w:pPr>
      <w:r>
        <w:rPr/>
        <w:t>[9]</w:t>
        <w:tab/>
        <w:t>3GPP TS 29.503: "Unified Data Management Services".</w:t>
      </w:r>
    </w:p>
    <w:p>
      <w:pPr>
        <w:pStyle w:val="EX"/>
        <w:rPr/>
      </w:pPr>
      <w:r>
        <w:rPr/>
        <w:t>[10]</w:t>
        <w:tab/>
        <w:t>3GPP TR 33.916: "</w:t>
      </w:r>
      <w:r>
        <w:rPr>
          <w:lang w:eastAsia="zh-CN"/>
        </w:rPr>
        <w:t>Security Assurance Methodology (SECAM) for 3GPP network products</w:t>
      </w:r>
      <w:r>
        <w:rPr/>
        <w:t>".</w:t>
      </w:r>
    </w:p>
    <w:p>
      <w:pPr>
        <w:pStyle w:val="Heading1"/>
        <w:rPr/>
      </w:pPr>
      <w:bookmarkStart w:id="23" w:name="__RefHeading___Toc153454900"/>
      <w:bookmarkEnd w:id="23"/>
      <w:r>
        <w:rPr/>
        <w:t>3</w:t>
        <w:tab/>
        <w:t>Definitions of terms, symbols and abbreviations</w:t>
      </w:r>
    </w:p>
    <w:p>
      <w:pPr>
        <w:pStyle w:val="Heading2"/>
        <w:ind w:hanging="1134" w:left="1134"/>
        <w:rPr/>
      </w:pPr>
      <w:bookmarkStart w:id="24" w:name="__RefHeading___Toc153454901"/>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Normal"/>
        <w:rPr/>
      </w:pPr>
      <w:r>
        <w:rPr>
          <w:b/>
        </w:rPr>
        <w:t xml:space="preserve">Subscription Identifier: </w:t>
      </w:r>
      <w:r>
        <w:rPr/>
        <w:t>Defined in TS 33.501 [2] and in TS 23.003 [6].</w:t>
      </w:r>
    </w:p>
    <w:p>
      <w:pPr>
        <w:pStyle w:val="Normal"/>
        <w:rPr/>
      </w:pPr>
      <w:r>
        <w:rPr>
          <w:b/>
        </w:rPr>
        <w:t>Subscription Concealed Identifier:</w:t>
      </w:r>
      <w:r>
        <w:rPr/>
        <w:t xml:space="preserve"> Defined in TS 33.501 [2].</w:t>
      </w:r>
    </w:p>
    <w:p>
      <w:pPr>
        <w:pStyle w:val="Normal"/>
        <w:rPr/>
      </w:pPr>
      <w:r>
        <w:rPr>
          <w:b/>
        </w:rPr>
        <w:t xml:space="preserve">Subscription Identifier De-concealing Function: </w:t>
      </w:r>
      <w:r>
        <w:rPr/>
        <w:t>Defined in TS 33.501 [2].</w:t>
      </w:r>
    </w:p>
    <w:p>
      <w:pPr>
        <w:pStyle w:val="Normal"/>
        <w:rPr/>
      </w:pPr>
      <w:r>
        <w:rPr>
          <w:b/>
        </w:rPr>
        <w:t xml:space="preserve">Network Function: </w:t>
      </w:r>
      <w:r>
        <w:rPr>
          <w:bCs/>
        </w:rPr>
        <w:t>As defined in TS 23.501 [5].</w:t>
      </w:r>
    </w:p>
    <w:p>
      <w:pPr>
        <w:pStyle w:val="Normal"/>
        <w:rPr/>
      </w:pPr>
      <w:r>
        <w:rPr>
          <w:b/>
        </w:rPr>
        <w:t xml:space="preserve">Network Product: </w:t>
      </w:r>
      <w:r>
        <w:rPr>
          <w:bCs/>
        </w:rPr>
        <w:t>As defined in TR 33.916 [</w:t>
      </w:r>
      <w:r>
        <w:rPr/>
        <w:t>10</w:t>
      </w:r>
      <w:r>
        <w:rPr>
          <w:bCs/>
        </w:rPr>
        <w:t>].</w:t>
      </w:r>
    </w:p>
    <w:p>
      <w:pPr>
        <w:pStyle w:val="Normal"/>
        <w:rPr/>
      </w:pPr>
      <w:r>
        <w:rPr>
          <w:b/>
        </w:rPr>
        <w:t>Network Product Class:</w:t>
      </w:r>
      <w:r>
        <w:rPr>
          <w:bCs/>
        </w:rPr>
        <w:t xml:space="preserve"> As defined in TR 33.916 [</w:t>
      </w:r>
      <w:r>
        <w:rPr/>
        <w:t>10</w:t>
      </w:r>
      <w:r>
        <w:rPr>
          <w:bCs/>
        </w:rPr>
        <w:t>].</w:t>
      </w:r>
    </w:p>
    <w:p>
      <w:pPr>
        <w:pStyle w:val="Normal"/>
        <w:rPr>
          <w:bCs/>
        </w:rPr>
      </w:pPr>
      <w:r>
        <w:rPr>
          <w:b/>
        </w:rPr>
        <w:t>Pcap file:</w:t>
      </w:r>
      <w:r>
        <w:rPr>
          <w:bCs/>
        </w:rPr>
        <w:t xml:space="preserve"> A file format used to store network packet data captured from a network interface.</w:t>
      </w:r>
    </w:p>
    <w:p>
      <w:pPr>
        <w:pStyle w:val="Normal"/>
        <w:rPr>
          <w:b/>
        </w:rPr>
      </w:pPr>
      <w:r>
        <w:rPr>
          <w:b/>
          <w:bCs/>
          <w:lang w:eastAsia="ja-JP"/>
        </w:rPr>
        <w:t>Screenshot:</w:t>
      </w:r>
      <w:r>
        <w:rPr>
          <w:lang w:eastAsia="ja-JP"/>
        </w:rPr>
        <w:t xml:space="preserve"> A digital image that shows the contents of a display.</w:t>
      </w:r>
    </w:p>
    <w:p>
      <w:pPr>
        <w:pStyle w:val="Normal"/>
        <w:rPr/>
      </w:pPr>
      <w:r>
        <w:rPr>
          <w:b/>
          <w:bCs/>
          <w:lang w:eastAsia="ja-JP"/>
        </w:rPr>
        <w:t>Vulnerability:</w:t>
      </w:r>
      <w:r>
        <w:rPr>
          <w:lang w:eastAsia="ja-JP"/>
        </w:rPr>
        <w:t xml:space="preserve"> </w:t>
      </w:r>
      <w:r>
        <w:rPr>
          <w:bCs/>
        </w:rPr>
        <w:t>As defined in TR 33.916 [</w:t>
      </w:r>
      <w:r>
        <w:rPr/>
        <w:t>10</w:t>
      </w:r>
      <w:r>
        <w:rPr>
          <w:bCs/>
        </w:rPr>
        <w:t>].</w:t>
      </w:r>
    </w:p>
    <w:p>
      <w:pPr>
        <w:pStyle w:val="Heading2"/>
        <w:ind w:hanging="1134" w:left="1134"/>
        <w:rPr/>
      </w:pPr>
      <w:bookmarkStart w:id="28" w:name="__RefHeading___Toc153454902"/>
      <w:bookmarkEnd w:id="28"/>
      <w:r>
        <w:rPr/>
        <w:t>3.2</w:t>
        <w:tab/>
        <w:t>Symbols</w:t>
      </w:r>
    </w:p>
    <w:p>
      <w:pPr>
        <w:pStyle w:val="Normal"/>
        <w:rPr/>
      </w:pPr>
      <w:r>
        <w:rPr/>
        <w:t>Void.</w:t>
      </w:r>
    </w:p>
    <w:p>
      <w:pPr>
        <w:pStyle w:val="Heading2"/>
        <w:ind w:hanging="1134" w:left="1134"/>
        <w:rPr/>
      </w:pPr>
      <w:bookmarkStart w:id="29" w:name="__RefHeading___Toc153454903"/>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lang w:eastAsia="zh-CN"/>
        </w:rPr>
      </w:pPr>
      <w:r>
        <w:rPr/>
        <w:t>5GS</w:t>
        <w:tab/>
        <w:t>5G System</w:t>
      </w:r>
    </w:p>
    <w:p>
      <w:pPr>
        <w:pStyle w:val="EW"/>
        <w:rPr/>
      </w:pPr>
      <w:r>
        <w:rPr/>
        <w:t>AMF</w:t>
        <w:tab/>
        <w:t>Access and Mobility Management Function</w:t>
      </w:r>
    </w:p>
    <w:p>
      <w:pPr>
        <w:pStyle w:val="EW"/>
        <w:rPr/>
      </w:pPr>
      <w:r>
        <w:rPr/>
        <w:t>AKA</w:t>
        <w:tab/>
        <w:t>Authentication and Key Agreement</w:t>
      </w:r>
    </w:p>
    <w:p>
      <w:pPr>
        <w:pStyle w:val="EW"/>
        <w:rPr/>
      </w:pPr>
      <w:r>
        <w:rPr/>
        <w:t>ARPF</w:t>
        <w:tab/>
        <w:t>Authentication credential Repository and Processing Function</w:t>
      </w:r>
    </w:p>
    <w:p>
      <w:pPr>
        <w:pStyle w:val="EW"/>
        <w:rPr/>
      </w:pPr>
      <w:r>
        <w:rPr/>
        <w:t>AUSF</w:t>
        <w:tab/>
        <w:t>Authentication Server Function</w:t>
      </w:r>
    </w:p>
    <w:p>
      <w:pPr>
        <w:pStyle w:val="EW"/>
        <w:rPr/>
      </w:pPr>
      <w:r>
        <w:rPr/>
        <w:t>AV</w:t>
        <w:tab/>
        <w:t>Authentication Vector</w:t>
      </w:r>
    </w:p>
    <w:p>
      <w:pPr>
        <w:pStyle w:val="EW"/>
        <w:rPr/>
      </w:pPr>
      <w:r>
        <w:rPr/>
        <w:t>EAP</w:t>
        <w:tab/>
        <w:t>Extensible Authentication Protocol</w:t>
      </w:r>
    </w:p>
    <w:p>
      <w:pPr>
        <w:pStyle w:val="EW"/>
        <w:rPr/>
      </w:pPr>
      <w:r>
        <w:rPr/>
        <w:t>JSON</w:t>
        <w:tab/>
        <w:t>Javascript Object Notation</w:t>
      </w:r>
    </w:p>
    <w:p>
      <w:pPr>
        <w:pStyle w:val="EW"/>
        <w:rPr/>
      </w:pPr>
      <w:r>
        <w:rPr/>
        <w:t>SBA</w:t>
        <w:tab/>
        <w:t>Service Based Architecture</w:t>
      </w:r>
    </w:p>
    <w:p>
      <w:pPr>
        <w:pStyle w:val="EW"/>
        <w:rPr/>
      </w:pPr>
      <w:r>
        <w:rPr/>
        <w:t>SBI</w:t>
        <w:tab/>
        <w:t>Service Based Interfaces</w:t>
      </w:r>
    </w:p>
    <w:p>
      <w:pPr>
        <w:pStyle w:val="EW"/>
        <w:rPr/>
      </w:pPr>
      <w:r>
        <w:rPr/>
        <w:t>SIDF</w:t>
        <w:tab/>
        <w:t xml:space="preserve">Subscription Identifier De-concealing Function </w:t>
      </w:r>
    </w:p>
    <w:p>
      <w:pPr>
        <w:pStyle w:val="EW"/>
        <w:rPr>
          <w:lang w:eastAsia="ko-KR"/>
        </w:rPr>
      </w:pPr>
      <w:r>
        <w:rPr>
          <w:lang w:eastAsia="ko-KR"/>
        </w:rPr>
        <w:t>SUCI</w:t>
        <w:tab/>
        <w:t>Subscription Concealed Identifier</w:t>
      </w:r>
    </w:p>
    <w:p>
      <w:pPr>
        <w:pStyle w:val="EW"/>
        <w:rPr/>
      </w:pPr>
      <w:r>
        <w:rPr/>
        <w:t>SUPI</w:t>
        <w:tab/>
        <w:t>Subscription Permanent Identifier</w:t>
      </w:r>
    </w:p>
    <w:p>
      <w:pPr>
        <w:pStyle w:val="EW"/>
        <w:rPr/>
      </w:pPr>
      <w:r>
        <w:rPr/>
        <w:t>TSC</w:t>
        <w:tab/>
        <w:t>Time Sensitive Communication</w:t>
      </w:r>
    </w:p>
    <w:p>
      <w:pPr>
        <w:pStyle w:val="EW"/>
        <w:rPr/>
      </w:pPr>
      <w:r>
        <w:rPr/>
        <w:t>UDM</w:t>
        <w:tab/>
        <w:t>Unified Data Management</w:t>
      </w:r>
    </w:p>
    <w:p>
      <w:pPr>
        <w:pStyle w:val="EX"/>
        <w:rPr/>
      </w:pPr>
      <w:r>
        <w:rPr/>
        <w:t>UDR</w:t>
        <w:tab/>
        <w:t>Unified Data Repository</w:t>
      </w:r>
    </w:p>
    <w:p>
      <w:pPr>
        <w:pStyle w:val="Heading1"/>
        <w:rPr/>
      </w:pPr>
      <w:bookmarkStart w:id="30" w:name="__RefHeading___Toc153454904"/>
      <w:bookmarkEnd w:id="30"/>
      <w:r>
        <w:rPr/>
        <w:t>4</w:t>
        <w:tab/>
        <w:t>UDM-specific security requirements and related test cases</w:t>
      </w:r>
    </w:p>
    <w:p>
      <w:pPr>
        <w:pStyle w:val="Heading2"/>
        <w:ind w:hanging="1134" w:left="1134"/>
        <w:rPr/>
      </w:pPr>
      <w:bookmarkStart w:id="31" w:name="__RefHeading___Toc153454905"/>
      <w:bookmarkEnd w:id="31"/>
      <w:r>
        <w:rPr/>
        <w:t>4.1</w:t>
        <w:tab/>
        <w:t>Introduction</w:t>
      </w:r>
    </w:p>
    <w:p>
      <w:pPr>
        <w:pStyle w:val="Normal"/>
        <w:rPr/>
      </w:pPr>
      <w:r>
        <w:rPr/>
        <w:t>UDM specific security requirements include both requirements derived from UDM specific security functional requirements in relevant specifications as well as security requirements introduced in the present document derived from the threats specific to UDM as described in TR 33.926 [4].</w:t>
      </w:r>
    </w:p>
    <w:p>
      <w:pPr>
        <w:pStyle w:val="Heading2"/>
        <w:ind w:hanging="1134" w:left="1134"/>
        <w:rPr/>
      </w:pPr>
      <w:bookmarkStart w:id="32" w:name="__RefHeading___Toc153454906"/>
      <w:bookmarkEnd w:id="32"/>
      <w:r>
        <w:rPr/>
        <w:t>4.2</w:t>
        <w:tab/>
        <w:t>Security functional requirements on the UDM derived from 3GPP specifications and related test cases</w:t>
      </w:r>
    </w:p>
    <w:p>
      <w:pPr>
        <w:pStyle w:val="Heading3"/>
        <w:ind w:hanging="1134" w:left="1134"/>
        <w:rPr>
          <w:rFonts w:eastAsia="SimSun;宋体"/>
        </w:rPr>
      </w:pPr>
      <w:bookmarkStart w:id="33" w:name="__RefHeading___Toc153454907"/>
      <w:bookmarkEnd w:id="33"/>
      <w:r>
        <w:rPr>
          <w:rFonts w:eastAsia="SimSun;宋体"/>
        </w:rPr>
        <w:t>4.2.0</w:t>
        <w:tab/>
        <w:t>General</w:t>
      </w:r>
    </w:p>
    <w:p>
      <w:pPr>
        <w:pStyle w:val="Normal"/>
        <w:rPr/>
      </w:pPr>
      <w:r>
        <w:rPr/>
        <w:t>The general approach in TS 33.117 [3] clause 4.2.2.1 and all the requirements and test cases in TS 33.117 [3] clause 4.2.2.2 related to SBA/SBI aspect apply to the UDM network product class.</w:t>
      </w:r>
    </w:p>
    <w:p>
      <w:pPr>
        <w:pStyle w:val="Heading3"/>
        <w:ind w:hanging="1134" w:left="1134"/>
        <w:rPr/>
      </w:pPr>
      <w:bookmarkStart w:id="34" w:name="__RefHeading___Toc153454908"/>
      <w:bookmarkEnd w:id="34"/>
      <w:r>
        <w:rPr/>
        <w:t>4.2.1</w:t>
        <w:tab/>
        <w:t>User Privacy Procedure</w:t>
      </w:r>
    </w:p>
    <w:p>
      <w:pPr>
        <w:pStyle w:val="Heading4"/>
        <w:rPr/>
      </w:pPr>
      <w:bookmarkStart w:id="35" w:name="__RefHeading___Toc153454909"/>
      <w:bookmarkEnd w:id="35"/>
      <w:r>
        <w:rPr/>
        <w:t>4.2.1.1</w:t>
        <w:tab/>
        <w:t>De-concealment of SUPI from the SUCI based on the protection scheme used to generate the SUCI</w:t>
      </w:r>
    </w:p>
    <w:p>
      <w:pPr>
        <w:pStyle w:val="Normal"/>
        <w:rPr/>
      </w:pPr>
      <w:r>
        <w:rPr>
          <w:i/>
        </w:rPr>
        <w:t>Requirement Name:</w:t>
      </w:r>
      <w:r>
        <w:rPr/>
        <w:t xml:space="preserve"> </w:t>
      </w:r>
      <w:r>
        <w:rPr>
          <w:lang w:eastAsia="ja-JP"/>
        </w:rPr>
        <w:t xml:space="preserve">De-concealment of SUPI from the SUCI based on the protection scheme used to generate the SUCI. </w:t>
      </w:r>
    </w:p>
    <w:p>
      <w:pPr>
        <w:pStyle w:val="Normal"/>
        <w:rPr/>
      </w:pPr>
      <w:r>
        <w:rPr>
          <w:i/>
        </w:rPr>
        <w:t>Requirement Reference:</w:t>
      </w:r>
      <w:r>
        <w:rPr/>
        <w:t xml:space="preserve"> TS 33.501 [2], clause 5.8.2.</w:t>
      </w:r>
    </w:p>
    <w:p>
      <w:pPr>
        <w:pStyle w:val="Normal"/>
        <w:rPr/>
      </w:pPr>
      <w:r>
        <w:rPr>
          <w:i/>
        </w:rPr>
        <w:t>Requirement Description:</w:t>
      </w:r>
      <w:r>
        <w:rPr/>
        <w:t xml:space="preserve"> The SIDF resolves the SUPI from the SUCI based on the protection scheme used to generate the SUCI as specified in TS 33.501 [2], clause 5.8.2. </w:t>
      </w:r>
    </w:p>
    <w:p>
      <w:pPr>
        <w:pStyle w:val="Normal"/>
        <w:rPr/>
      </w:pPr>
      <w:r>
        <w:rPr>
          <w:i/>
        </w:rPr>
        <w:t>Threat References</w:t>
      </w:r>
      <w:r>
        <w:rPr/>
        <w:t>: TR 33.926 [4], clause E.2.2.1, Incorrect SUCI de-concealment.</w:t>
      </w:r>
    </w:p>
    <w:p>
      <w:pPr>
        <w:pStyle w:val="Normal"/>
        <w:rPr>
          <w:b/>
        </w:rPr>
      </w:pPr>
      <w:r>
        <w:rPr>
          <w:b/>
        </w:rPr>
        <w:t>Test Case:</w:t>
      </w:r>
    </w:p>
    <w:p>
      <w:pPr>
        <w:pStyle w:val="Normal"/>
        <w:rPr/>
      </w:pPr>
      <w:r>
        <w:rPr>
          <w:b/>
        </w:rPr>
        <w:t xml:space="preserve">Test Name: </w:t>
      </w:r>
      <w:r>
        <w:rPr/>
        <w:t>TC_DE-CONCEAL_SUPI_from_SUCI_UDM</w:t>
      </w:r>
    </w:p>
    <w:p>
      <w:pPr>
        <w:pStyle w:val="Normal"/>
        <w:rPr>
          <w:b/>
          <w:bCs/>
        </w:rPr>
      </w:pPr>
      <w:r>
        <w:rPr>
          <w:b/>
          <w:bCs/>
        </w:rPr>
        <w:t>Purpose:</w:t>
      </w:r>
    </w:p>
    <w:p>
      <w:pPr>
        <w:pStyle w:val="Normal"/>
        <w:rPr/>
      </w:pPr>
      <w:r>
        <w:rPr/>
        <w:t>Verify that the SIDF De-conceals the SUPI from the SUCI based on the protection scheme used to generate the SUCI.</w:t>
      </w:r>
    </w:p>
    <w:p>
      <w:pPr>
        <w:pStyle w:val="Normal"/>
        <w:rPr>
          <w:b/>
          <w:bCs/>
          <w:lang w:eastAsia="zh-CN"/>
        </w:rPr>
      </w:pPr>
      <w:r>
        <w:rPr>
          <w:b/>
          <w:bCs/>
          <w:lang w:eastAsia="zh-CN"/>
        </w:rPr>
        <w:t>Procedure and execution steps:</w:t>
      </w:r>
    </w:p>
    <w:p>
      <w:pPr>
        <w:pStyle w:val="Normal"/>
        <w:rPr>
          <w:b/>
        </w:rPr>
      </w:pPr>
      <w:r>
        <w:rPr>
          <w:b/>
        </w:rPr>
        <w:t>Pre-Condition:</w:t>
      </w:r>
    </w:p>
    <w:p>
      <w:pPr>
        <w:pStyle w:val="B1"/>
        <w:rPr/>
      </w:pPr>
      <w:r>
        <w:rPr/>
        <w:t>-</w:t>
        <w:tab/>
        <w:t>UDM network product is connected in simulated/real network environment including an AUSF and AMF.</w:t>
      </w:r>
    </w:p>
    <w:p>
      <w:pPr>
        <w:pStyle w:val="B1"/>
        <w:rPr/>
      </w:pPr>
      <w:r>
        <w:rPr/>
        <w:t>-</w:t>
        <w:tab/>
        <w:t>Tester shall have access to the subscription data stored in UDR.</w:t>
      </w:r>
    </w:p>
    <w:p>
      <w:pPr>
        <w:pStyle w:val="B1"/>
        <w:rPr/>
      </w:pPr>
      <w:r>
        <w:rPr/>
        <w:t>-</w:t>
        <w:tab/>
        <w:t>Tester shall record the SUPI from the UE.</w:t>
      </w:r>
    </w:p>
    <w:p>
      <w:pPr>
        <w:pStyle w:val="Normal"/>
        <w:rPr>
          <w:b/>
        </w:rPr>
      </w:pPr>
      <w:r>
        <w:rPr>
          <w:b/>
        </w:rPr>
        <w:t>Execution Steps:</w:t>
      </w:r>
    </w:p>
    <w:p>
      <w:pPr>
        <w:pStyle w:val="Normal"/>
        <w:rPr/>
      </w:pPr>
      <w:r>
        <w:rPr/>
        <w:t xml:space="preserve">Tester shall capture the entire authentication procedure between UE and AMF over N1, N12 and N13 interface using any network analyser. </w:t>
      </w:r>
    </w:p>
    <w:p>
      <w:pPr>
        <w:pStyle w:val="B1"/>
        <w:rPr/>
      </w:pPr>
      <w:r>
        <w:rPr/>
        <w:t>1.</w:t>
        <w:tab/>
        <w:t>Tester shall filter the Nudm_UEAuthentication_Get Response message sent from UDM to AUSF over N13 interface containing the SUPI.</w:t>
      </w:r>
    </w:p>
    <w:p>
      <w:pPr>
        <w:pStyle w:val="B1"/>
        <w:rPr/>
      </w:pPr>
      <w:r>
        <w:rPr/>
        <w:t>2.</w:t>
        <w:tab/>
        <w:t xml:space="preserve">Tester shall compare the SUPI </w:t>
      </w:r>
      <w:r>
        <w:rPr>
          <w:rFonts w:eastAsia="SimSun;宋体"/>
          <w:lang w:eastAsia="zh-CN"/>
        </w:rPr>
        <w:t xml:space="preserve">gotten </w:t>
      </w:r>
      <w:r>
        <w:rPr/>
        <w:t>from UE and the SUPI retrieved from Nudm_UEAuthentication_Get Response message.</w:t>
      </w:r>
    </w:p>
    <w:p>
      <w:pPr>
        <w:pStyle w:val="NO"/>
        <w:rPr/>
      </w:pPr>
      <w:r>
        <w:rPr/>
        <w:t>NOTE:</w:t>
        <w:tab/>
        <w:t>The tester may filter the Nausf_UEAutentication_Authenticate Response message sent from the UDM/AUSF to the AMF over N12 interface containing the SUPI, if the UDM and AUSF network products are collocated without an open N13 interface.</w:t>
      </w:r>
    </w:p>
    <w:p>
      <w:pPr>
        <w:pStyle w:val="Normal"/>
        <w:rPr>
          <w:b/>
        </w:rPr>
      </w:pPr>
      <w:r>
        <w:rPr>
          <w:b/>
        </w:rPr>
        <w:t>Expected Results:</w:t>
      </w:r>
    </w:p>
    <w:p>
      <w:pPr>
        <w:pStyle w:val="Normal"/>
        <w:rPr/>
      </w:pPr>
      <w:r>
        <w:rPr/>
        <w:t>SIDF resolves the SUPI from the SUCI based on the protection scheme used to generate the SUCI.</w:t>
      </w:r>
    </w:p>
    <w:p>
      <w:pPr>
        <w:pStyle w:val="Normal"/>
        <w:rPr>
          <w:b/>
        </w:rPr>
      </w:pPr>
      <w:r>
        <w:rPr>
          <w:b/>
        </w:rPr>
        <w:t>Expected format of evidence:</w:t>
      </w:r>
    </w:p>
    <w:p>
      <w:pPr>
        <w:pStyle w:val="Normal"/>
        <w:rPr/>
      </w:pPr>
      <w:r>
        <w:rPr/>
        <w:t>Evidence suitable for the interface, e.g., evidence can be presented in the form of screenshot/screen-capture.</w:t>
      </w:r>
    </w:p>
    <w:p>
      <w:pPr>
        <w:pStyle w:val="Heading4"/>
        <w:rPr/>
      </w:pPr>
      <w:bookmarkStart w:id="36" w:name="__RefHeading___Toc153454910"/>
      <w:bookmarkEnd w:id="36"/>
      <w:r>
        <w:rPr/>
        <w:t>4.2.1.2</w:t>
        <w:tab/>
        <w:t>Rejection of SUCIs using an ECIES protection scheme with an invalid public key.</w:t>
      </w:r>
    </w:p>
    <w:p>
      <w:pPr>
        <w:pStyle w:val="Normal"/>
        <w:rPr/>
      </w:pPr>
      <w:r>
        <w:rPr>
          <w:i/>
        </w:rPr>
        <w:t>Requirement Name:</w:t>
      </w:r>
      <w:r>
        <w:rPr/>
        <w:t xml:space="preserve"> Rejection of SUCIs using an ECIES protection scheme with an invalid public key.</w:t>
      </w:r>
      <w:r>
        <w:rPr>
          <w:lang w:eastAsia="ja-JP"/>
        </w:rPr>
        <w:t xml:space="preserve"> </w:t>
      </w:r>
    </w:p>
    <w:p>
      <w:pPr>
        <w:pStyle w:val="Normal"/>
        <w:rPr/>
      </w:pPr>
      <w:r>
        <w:rPr>
          <w:i/>
        </w:rPr>
        <w:t>Requirement Reference:</w:t>
      </w:r>
      <w:r>
        <w:rPr/>
        <w:t xml:space="preserve"> TS 33.501 [2], clause C.3.3 with reference to SECG SEC 1 [8] clause 2.3.4.</w:t>
      </w:r>
    </w:p>
    <w:p>
      <w:pPr>
        <w:pStyle w:val="Normal"/>
        <w:rPr/>
      </w:pPr>
      <w:r>
        <w:rPr>
          <w:i/>
        </w:rPr>
        <w:t>Requirement Description:</w:t>
      </w:r>
      <w:r>
        <w:rPr/>
        <w:t xml:space="preserve"> Output: An elliptic curve point P, or "invalid" as specified [8], clause 2.3.4.</w:t>
      </w:r>
    </w:p>
    <w:p>
      <w:pPr>
        <w:pStyle w:val="Normal"/>
        <w:rPr/>
      </w:pPr>
      <w:r>
        <w:rPr>
          <w:i/>
        </w:rPr>
        <w:t>Threat References</w:t>
      </w:r>
      <w:r>
        <w:rPr/>
        <w:t>: TR 33.926 [4], clause E.2.2.6, Invalid public key.</w:t>
      </w:r>
    </w:p>
    <w:p>
      <w:pPr>
        <w:pStyle w:val="Normal"/>
        <w:rPr>
          <w:b/>
        </w:rPr>
      </w:pPr>
      <w:r>
        <w:rPr>
          <w:bCs/>
          <w:i/>
          <w:iCs/>
        </w:rPr>
        <w:t>Test Case:</w:t>
      </w:r>
    </w:p>
    <w:p>
      <w:pPr>
        <w:pStyle w:val="Normal"/>
        <w:rPr/>
      </w:pPr>
      <w:r>
        <w:rPr>
          <w:b/>
        </w:rPr>
        <w:t>Test Name</w:t>
      </w:r>
      <w:r>
        <w:rPr>
          <w:bCs/>
        </w:rPr>
        <w:t>: T</w:t>
      </w:r>
      <w:r>
        <w:rPr/>
        <w:t>C_REJECT_SUCI_PROFILE_B_INVALID_PUBKEY_UDM</w:t>
      </w:r>
    </w:p>
    <w:p>
      <w:pPr>
        <w:pStyle w:val="Normal"/>
        <w:rPr>
          <w:b/>
        </w:rPr>
      </w:pPr>
      <w:r>
        <w:rPr>
          <w:b/>
        </w:rPr>
        <w:t>Purpose:</w:t>
      </w:r>
    </w:p>
    <w:p>
      <w:pPr>
        <w:pStyle w:val="Normal"/>
        <w:rPr/>
      </w:pPr>
      <w:r>
        <w:rPr/>
        <w:t>Verify that the SIDF rejects the SUCI if it uses an ECIES protection scheme and contains an invalid point as the UE’s public key for Profile B.</w:t>
      </w:r>
    </w:p>
    <w:p>
      <w:pPr>
        <w:pStyle w:val="Normal"/>
        <w:keepNext w:val="true"/>
        <w:keepLines/>
        <w:spacing w:before="180" w:after="180"/>
        <w:rPr>
          <w:b/>
          <w:lang w:eastAsia="zh-CN"/>
        </w:rPr>
      </w:pPr>
      <w:r>
        <w:rPr>
          <w:b/>
          <w:lang w:eastAsia="zh-CN"/>
        </w:rPr>
        <w:t>Procedure and execution steps:</w:t>
      </w:r>
    </w:p>
    <w:p>
      <w:pPr>
        <w:pStyle w:val="Normal"/>
        <w:rPr>
          <w:b/>
        </w:rPr>
      </w:pPr>
      <w:r>
        <w:rPr>
          <w:b/>
        </w:rPr>
        <w:t>Pre-Condition:</w:t>
      </w:r>
    </w:p>
    <w:p>
      <w:pPr>
        <w:pStyle w:val="B1"/>
        <w:rPr/>
      </w:pPr>
      <w:r>
        <w:rPr/>
        <w:t>-</w:t>
        <w:tab/>
        <w:t>The tester has access to the public information of the SUCI profile (e.g., profile type, public key …) of the UDM/SIDF under test.</w:t>
      </w:r>
    </w:p>
    <w:p>
      <w:pPr>
        <w:pStyle w:val="B1"/>
        <w:rPr/>
      </w:pPr>
      <w:r>
        <w:rPr/>
        <w:t>-</w:t>
        <w:tab/>
        <w:t xml:space="preserve">The tester has configured the UDM to use Profile B. </w:t>
      </w:r>
    </w:p>
    <w:p>
      <w:pPr>
        <w:pStyle w:val="B1"/>
        <w:ind w:firstLine="284" w:left="0" w:right="0"/>
        <w:rPr/>
      </w:pPr>
      <w:r>
        <w:rPr/>
        <w:t>-</w:t>
        <w:tab/>
        <w:t>The tester has access to a SUPI of provisioned subscriber.</w:t>
      </w:r>
    </w:p>
    <w:p>
      <w:pPr>
        <w:pStyle w:val="Normal"/>
        <w:rPr>
          <w:b/>
        </w:rPr>
      </w:pPr>
      <w:r>
        <w:rPr>
          <w:b/>
        </w:rPr>
        <w:t>Execution Steps</w:t>
      </w:r>
    </w:p>
    <w:p>
      <w:pPr>
        <w:pStyle w:val="B1"/>
        <w:rPr>
          <w:b/>
        </w:rPr>
      </w:pPr>
      <w:r>
        <w:rPr/>
        <w:t>1.</w:t>
        <w:tab/>
        <w:t>The tester selects an invalid point (NOTE 1) and uses the point as a public key to encrypt the SUPI based on the encryption defined in Annex C of 33.501 [2] and SECG SEC 1 [8] (NOTE 2).</w:t>
      </w:r>
    </w:p>
    <w:p>
      <w:pPr>
        <w:pStyle w:val="B1"/>
        <w:rPr/>
      </w:pPr>
      <w:r>
        <w:rPr/>
        <w:t>2.</w:t>
        <w:tab/>
        <w:t>The tester sends the SUCI to the Nudm_UEAuthentication_Get service of the UDM/ SIDF under test.</w:t>
      </w:r>
    </w:p>
    <w:p>
      <w:pPr>
        <w:pStyle w:val="NO"/>
        <w:rPr/>
      </w:pPr>
      <w:r>
        <w:rPr/>
        <w:t xml:space="preserve">NOTE 1: </w:t>
        <w:tab/>
        <w:t>An example invalid point for Profile B (of order 47) is: 0x049af0190d4e237c462c94c447052c770f6d348866f1dbbe29a0ee889f18835d6a973457a6730323716ef2c8a3723793be64b54cec40eb86ab194057c95baf8cfe.</w:t>
      </w:r>
    </w:p>
    <w:p>
      <w:pPr>
        <w:pStyle w:val="NO"/>
        <w:rPr/>
      </w:pPr>
      <w:r>
        <w:rPr/>
        <w:t xml:space="preserve">NOTE 2: </w:t>
        <w:tab/>
        <w:t>An example SUCI encrypted with the invalid point (above) for the MCC|MNC (274012) and MSIN (001002086) for Profile B (Annex C of 33.501 [2]) is:  suci-0-274-012-0-2-2-049af0190d4e237c462c94c447052c770f6d348866f1dbbe29a0ee889f18835d6a973457a6730323716ef2c8a3723793be64b54cec40eb86ab194057c95baf8cfe8cf9a0959454b74e31a331018b.</w:t>
      </w:r>
    </w:p>
    <w:p>
      <w:pPr>
        <w:pStyle w:val="Normal"/>
        <w:rPr>
          <w:b/>
          <w:bCs/>
        </w:rPr>
      </w:pPr>
      <w:r>
        <w:rPr>
          <w:b/>
          <w:bCs/>
        </w:rPr>
        <w:t>Expected Results:</w:t>
      </w:r>
    </w:p>
    <w:p>
      <w:pPr>
        <w:pStyle w:val="Normal"/>
        <w:rPr/>
      </w:pPr>
      <w:r>
        <w:rPr/>
        <w:t>The UDM/SIDF rejects the SUCI, and the UDM sends a Nudm_UEAuthentication_Get Response message with an HTTP status code "403 Forbidden" and may include additional error information in the response body (in "ProblemDetails" element) as specified in TS 29.503 [9], clause 5.4.2.2.2, 2b.</w:t>
      </w:r>
    </w:p>
    <w:p>
      <w:pPr>
        <w:pStyle w:val="NO"/>
        <w:rPr/>
      </w:pPr>
      <w:r>
        <w:rPr/>
        <w:t xml:space="preserve">NOTE 3:  </w:t>
        <w:tab/>
        <w:t>Values for "ProblemDetails" may be AUTHENTICATION_REJECTED or INVALID_SCHEME_OUTPUT as specified in TS 29.503 [9], clause 6.3.3.2.4.2.2-2.</w:t>
      </w:r>
    </w:p>
    <w:p>
      <w:pPr>
        <w:pStyle w:val="Normal"/>
        <w:rPr>
          <w:b/>
        </w:rPr>
      </w:pPr>
      <w:r>
        <w:rPr>
          <w:b/>
        </w:rPr>
        <w:t>Expected format of evidence:</w:t>
      </w:r>
    </w:p>
    <w:p>
      <w:pPr>
        <w:pStyle w:val="Normal"/>
        <w:rPr/>
      </w:pPr>
      <w:r>
        <w:rPr/>
        <w:t>Evidence suitable for the interface, e.g., evidence can be presented in the form of packet trace (e.g., pcap file).</w:t>
      </w:r>
    </w:p>
    <w:p>
      <w:pPr>
        <w:pStyle w:val="Heading4"/>
        <w:ind w:hanging="0" w:left="0" w:right="0"/>
        <w:rPr/>
      </w:pPr>
      <w:bookmarkStart w:id="37" w:name="__RefHeading___Toc153454911"/>
      <w:bookmarkEnd w:id="37"/>
      <w:r>
        <w:rPr/>
        <w:t>4.2.1.3</w:t>
        <w:tab/>
        <w:t>Rejection of SUCIs using an uncompressed point with Profile B.</w:t>
      </w:r>
    </w:p>
    <w:p>
      <w:pPr>
        <w:pStyle w:val="Normal"/>
        <w:rPr/>
      </w:pPr>
      <w:r>
        <w:rPr>
          <w:i/>
        </w:rPr>
        <w:t>Requirement Name:</w:t>
      </w:r>
      <w:r>
        <w:rPr/>
        <w:t xml:space="preserve"> Rejection of SUCIs using an uncompressed point with Profile B.</w:t>
      </w:r>
      <w:r>
        <w:rPr>
          <w:lang w:eastAsia="ja-JP"/>
        </w:rPr>
        <w:t xml:space="preserve"> </w:t>
      </w:r>
    </w:p>
    <w:p>
      <w:pPr>
        <w:pStyle w:val="Normal"/>
        <w:rPr/>
      </w:pPr>
      <w:r>
        <w:rPr>
          <w:i/>
        </w:rPr>
        <w:t>Requirement Reference:</w:t>
      </w:r>
      <w:r>
        <w:rPr/>
        <w:t xml:space="preserve"> TS 33.501 [2], clause C.3.4.0.</w:t>
      </w:r>
    </w:p>
    <w:p>
      <w:pPr>
        <w:pStyle w:val="Normal"/>
        <w:rPr/>
      </w:pPr>
      <w:r>
        <w:rPr>
          <w:i/>
        </w:rPr>
        <w:t>Requirement Description:</w:t>
      </w:r>
      <w:r>
        <w:rPr/>
        <w:t xml:space="preserve"> Profile B shall use point compression to save overhead as specified in TS 33.501 [2], clause C.3.4.0. </w:t>
      </w:r>
    </w:p>
    <w:p>
      <w:pPr>
        <w:pStyle w:val="Normal"/>
        <w:rPr/>
      </w:pPr>
      <w:r>
        <w:rPr>
          <w:i/>
        </w:rPr>
        <w:t>Threat References</w:t>
      </w:r>
      <w:r>
        <w:rPr/>
        <w:t>: TR 33.926 [4], clause E.2.2.6, Invalid public key.</w:t>
      </w:r>
    </w:p>
    <w:p>
      <w:pPr>
        <w:pStyle w:val="Normal"/>
        <w:rPr>
          <w:b/>
        </w:rPr>
      </w:pPr>
      <w:r>
        <w:rPr>
          <w:bCs/>
          <w:i/>
          <w:iCs/>
        </w:rPr>
        <w:t>Test Case:</w:t>
      </w:r>
    </w:p>
    <w:p>
      <w:pPr>
        <w:pStyle w:val="Normal"/>
        <w:rPr/>
      </w:pPr>
      <w:r>
        <w:rPr>
          <w:b/>
        </w:rPr>
        <w:t xml:space="preserve">Test Name: </w:t>
      </w:r>
      <w:r>
        <w:rPr/>
        <w:t>TC_REJECT_SUCI_PROFILE_B_NO_COMPRESSION_UDM</w:t>
      </w:r>
    </w:p>
    <w:p>
      <w:pPr>
        <w:pStyle w:val="Normal"/>
        <w:rPr>
          <w:b/>
        </w:rPr>
      </w:pPr>
      <w:r>
        <w:rPr>
          <w:b/>
        </w:rPr>
        <w:t>Purpose:</w:t>
      </w:r>
    </w:p>
    <w:p>
      <w:pPr>
        <w:pStyle w:val="Normal"/>
        <w:rPr/>
      </w:pPr>
      <w:r>
        <w:rPr/>
        <w:t>Verify that the SIDF rejects the SUCI if it uses the ECIES Profile B protection scheme and contains an uncompressed point as the UE's public key.</w:t>
      </w:r>
    </w:p>
    <w:p>
      <w:pPr>
        <w:pStyle w:val="Normal"/>
        <w:rPr>
          <w:b/>
          <w:lang w:eastAsia="zh-CN"/>
        </w:rPr>
      </w:pPr>
      <w:r>
        <w:rPr>
          <w:b/>
          <w:lang w:eastAsia="zh-CN"/>
        </w:rPr>
        <w:t>Procedure and execution steps:</w:t>
      </w:r>
    </w:p>
    <w:p>
      <w:pPr>
        <w:pStyle w:val="Normal"/>
        <w:rPr>
          <w:b/>
        </w:rPr>
      </w:pPr>
      <w:r>
        <w:rPr>
          <w:b/>
        </w:rPr>
        <w:t>Pre-Condition:</w:t>
      </w:r>
    </w:p>
    <w:p>
      <w:pPr>
        <w:pStyle w:val="Normal"/>
        <w:rPr/>
      </w:pPr>
      <w:r>
        <w:rPr/>
        <w:t>Tester shall have access to the HN’s public key for SUCI decryption with Profile B.</w:t>
      </w:r>
    </w:p>
    <w:p>
      <w:pPr>
        <w:pStyle w:val="B1"/>
        <w:ind w:hanging="0" w:left="0" w:right="0"/>
        <w:rPr>
          <w:b/>
        </w:rPr>
      </w:pPr>
      <w:r>
        <w:rPr>
          <w:b/>
        </w:rPr>
        <w:t>Execution Steps</w:t>
      </w:r>
    </w:p>
    <w:p>
      <w:pPr>
        <w:pStyle w:val="B1"/>
        <w:rPr/>
      </w:pPr>
      <w:r>
        <w:rPr/>
        <w:t>1.</w:t>
        <w:tab/>
        <w:t>The tester shall generate a SUCI for a registered SUPI with the protection scheme output for Profile B. Theephemeral public key of the UE should be in the uncompressed point format specified in [x] clause 2.3.3. The remaining parts of the protection scheme output retain their format [x].</w:t>
      </w:r>
    </w:p>
    <w:p>
      <w:pPr>
        <w:pStyle w:val="NO"/>
        <w:rPr/>
      </w:pPr>
      <w:r>
        <w:rPr/>
        <w:t xml:space="preserve">NOTE 1: </w:t>
        <w:tab/>
        <w:t>The uncompressed point format shall have a size of 65 bytes, and the most significant byte shall be 0x04. The compressed point format shall have a size of 33 bytes, with 0x02 or 0x03 as the most significant byte. Test data in TS 33.501 [2], clause C.4.4.1.</w:t>
      </w:r>
    </w:p>
    <w:p>
      <w:pPr>
        <w:pStyle w:val="B1"/>
        <w:rPr/>
      </w:pPr>
      <w:r>
        <w:rPr/>
        <w:t>2.</w:t>
        <w:tab/>
        <w:t>The tester shall send the SUCI to the Nudm_UEAuthentication_Get service of the UDM/ SIDF under test.</w:t>
      </w:r>
    </w:p>
    <w:p>
      <w:pPr>
        <w:pStyle w:val="Normal"/>
        <w:rPr>
          <w:b/>
          <w:bCs/>
        </w:rPr>
      </w:pPr>
      <w:r>
        <w:rPr>
          <w:b/>
          <w:bCs/>
        </w:rPr>
        <w:t>Expected Results:</w:t>
      </w:r>
    </w:p>
    <w:p>
      <w:pPr>
        <w:pStyle w:val="Normal"/>
        <w:rPr/>
      </w:pPr>
      <w:r>
        <w:rPr/>
        <w:t>The SIDF rejects the SUCI, and the UDM sends a Nudm_UEAuthentication_Get Response message with an HTTP status code "403 Forbidden" and may include additional error information in the response body (in "ProblemDetails" element) as specified in TS 29.503 [9], clause 5.4.2.2.2, 2b.</w:t>
      </w:r>
    </w:p>
    <w:p>
      <w:pPr>
        <w:pStyle w:val="NO"/>
        <w:rPr/>
      </w:pPr>
      <w:r>
        <w:rPr/>
        <w:t>NOTE 2:  Values for "ProblemDetails" may be AUTHENTICATION_REJECTED or INVALID_SCHEME_OUTPUT as specified in TS 29.503 [9], clause 6.3.3.2.4.2.2-2.</w:t>
      </w:r>
    </w:p>
    <w:p>
      <w:pPr>
        <w:pStyle w:val="Normal"/>
        <w:rPr>
          <w:b/>
        </w:rPr>
      </w:pPr>
      <w:r>
        <w:rPr>
          <w:b/>
        </w:rPr>
        <w:t>Expected format of evidence:</w:t>
      </w:r>
    </w:p>
    <w:p>
      <w:pPr>
        <w:pStyle w:val="Normal"/>
        <w:rPr/>
      </w:pPr>
      <w:r>
        <w:rPr/>
        <w:t>Evidence suitable for the interface, e.g., evidence can be presented in the form of packet trace (e.g., pcap file).</w:t>
      </w:r>
    </w:p>
    <w:p>
      <w:pPr>
        <w:pStyle w:val="Heading3"/>
        <w:ind w:hanging="1134" w:left="1134"/>
        <w:rPr/>
      </w:pPr>
      <w:bookmarkStart w:id="38" w:name="__RefHeading___Toc153454912"/>
      <w:bookmarkEnd w:id="38"/>
      <w:r>
        <w:rPr/>
        <w:t>4.2.2</w:t>
        <w:tab/>
        <w:t>Authentication and key agreement procedure</w:t>
      </w:r>
    </w:p>
    <w:p>
      <w:pPr>
        <w:pStyle w:val="Heading4"/>
        <w:rPr/>
      </w:pPr>
      <w:bookmarkStart w:id="39" w:name="__RefHeading___Toc153454913"/>
      <w:bookmarkEnd w:id="39"/>
      <w:r>
        <w:rPr/>
        <w:t>4.2.2.1</w:t>
        <w:tab/>
        <w:t>Synchronization failure handling</w:t>
      </w:r>
    </w:p>
    <w:p>
      <w:pPr>
        <w:pStyle w:val="Normal"/>
        <w:rPr>
          <w:lang w:eastAsia="zh-CN"/>
        </w:rPr>
      </w:pPr>
      <w:r>
        <w:rPr>
          <w:i/>
        </w:rPr>
        <w:t>Requirement Name</w:t>
      </w:r>
      <w:r>
        <w:rPr/>
        <w:t>: Synchronization failure handling</w:t>
      </w:r>
    </w:p>
    <w:p>
      <w:pPr>
        <w:pStyle w:val="Normal"/>
        <w:rPr/>
      </w:pPr>
      <w:r>
        <w:rPr>
          <w:i/>
        </w:rPr>
        <w:t xml:space="preserve">Requirement Reference: </w:t>
      </w:r>
      <w:r>
        <w:rPr/>
        <w:t>TS 33.501 [2], clause 6.1.3.3.2.</w:t>
      </w:r>
    </w:p>
    <w:p>
      <w:pPr>
        <w:pStyle w:val="Normal"/>
        <w:rPr/>
      </w:pPr>
      <w:r>
        <w:rPr>
          <w:i/>
        </w:rPr>
        <w:t>Requirement Description</w:t>
      </w:r>
      <w:r>
        <w:rPr/>
        <w:t xml:space="preserve">: When the UDM/ARPF receives an Nudm_UEAuthentication_Get Request message with a "synchronisation failure indication" it acts as described in TS 33.102 [7], clause 6.3.5 where ARPF is mapped to HE/AuC. The UDM/ARPF sends an Nudm_UEAuthentication_Get Response message with a new authentication vector for either EAP-AKA' or 5G-AKA depending on the authentication method applicable for the user to the AUSF </w:t>
      </w:r>
      <w:r>
        <w:rPr>
          <w:lang w:eastAsia="zh-CN"/>
        </w:rPr>
        <w:t xml:space="preserve">as specified in </w:t>
      </w:r>
      <w:r>
        <w:rPr/>
        <w:t>TS 33.501 [2], clause 6.1.3.3.2.</w:t>
      </w:r>
    </w:p>
    <w:p>
      <w:pPr>
        <w:pStyle w:val="Normal"/>
        <w:rPr/>
      </w:pPr>
      <w:r>
        <w:rPr>
          <w:i/>
        </w:rPr>
        <w:t>Threat References</w:t>
      </w:r>
      <w:r>
        <w:rPr/>
        <w:t>: TR 33.926 [4], clause E.2.2.2, Synchronization failure.</w:t>
      </w:r>
    </w:p>
    <w:p>
      <w:pPr>
        <w:pStyle w:val="Normal"/>
        <w:rPr/>
      </w:pPr>
      <w:r>
        <w:rPr>
          <w:i/>
        </w:rPr>
        <w:t>Test Case</w:t>
      </w:r>
      <w:r>
        <w:rPr/>
        <w:t xml:space="preserve">: </w:t>
      </w:r>
    </w:p>
    <w:p>
      <w:pPr>
        <w:pStyle w:val="Normal"/>
        <w:rPr>
          <w:b/>
          <w:lang w:eastAsia="zh-CN"/>
        </w:rPr>
      </w:pPr>
      <w:r>
        <w:rPr/>
        <w:t>Test Name: TC_SYNC_FAILURE_HANDLING_UDM</w:t>
      </w:r>
    </w:p>
    <w:p>
      <w:pPr>
        <w:pStyle w:val="Normal"/>
        <w:rPr>
          <w:b/>
          <w:lang w:eastAsia="zh-CN"/>
        </w:rPr>
      </w:pPr>
      <w:r>
        <w:rPr>
          <w:b/>
          <w:lang w:eastAsia="zh-CN"/>
        </w:rPr>
        <w:t>Purpose:</w:t>
      </w:r>
    </w:p>
    <w:p>
      <w:pPr>
        <w:pStyle w:val="Normal"/>
        <w:rPr/>
      </w:pPr>
      <w:r>
        <w:rPr>
          <w:lang w:eastAsia="zh-CN"/>
        </w:rPr>
        <w:t xml:space="preserve">Verify that </w:t>
      </w:r>
      <w:r>
        <w:rPr/>
        <w:t>synchronization failure is recovered correctly in the home network</w:t>
      </w:r>
      <w:r>
        <w:rPr>
          <w:lang w:eastAsia="zh-CN"/>
        </w:rPr>
        <w:t xml:space="preserve">. </w:t>
      </w:r>
    </w:p>
    <w:p>
      <w:pPr>
        <w:pStyle w:val="Normal"/>
        <w:rPr>
          <w:b/>
          <w:lang w:eastAsia="zh-CN"/>
        </w:rPr>
      </w:pPr>
      <w:r>
        <w:rPr>
          <w:b/>
          <w:lang w:eastAsia="zh-CN"/>
        </w:rPr>
        <w:t>Pre-Conditions:</w:t>
      </w:r>
    </w:p>
    <w:p>
      <w:pPr>
        <w:pStyle w:val="Normal"/>
        <w:rPr/>
      </w:pPr>
      <w:r>
        <w:rPr>
          <w:lang w:eastAsia="zh-CN"/>
        </w:rPr>
        <w:t xml:space="preserve">Test environment with an AUSF. The AUSF or AMF may be simulated. </w:t>
      </w:r>
    </w:p>
    <w:p>
      <w:pPr>
        <w:pStyle w:val="Normal"/>
        <w:rPr>
          <w:b/>
          <w:lang w:eastAsia="zh-CN"/>
        </w:rPr>
      </w:pPr>
      <w:r>
        <w:rPr>
          <w:b/>
          <w:lang w:eastAsia="zh-CN"/>
        </w:rPr>
        <w:t>Execution Steps</w:t>
      </w:r>
    </w:p>
    <w:p>
      <w:pPr>
        <w:pStyle w:val="B1"/>
        <w:rPr/>
      </w:pPr>
      <w:r>
        <w:rPr>
          <w:lang w:eastAsia="zh-CN"/>
        </w:rPr>
        <w:t>1.</w:t>
        <w:tab/>
        <w:t xml:space="preserve">The AUSF sends </w:t>
      </w:r>
      <w:r>
        <w:rPr/>
        <w:t>an Nudm_UEAuthentication_Get Request message to the UDM with a "synchronisation failure indication" and parameters RAND and AUTS</w:t>
      </w:r>
      <w:r>
        <w:rPr>
          <w:lang w:eastAsia="zh-CN"/>
        </w:rPr>
        <w:t>.</w:t>
      </w:r>
    </w:p>
    <w:p>
      <w:pPr>
        <w:pStyle w:val="B1"/>
        <w:rPr>
          <w:lang w:eastAsia="zh-CN"/>
        </w:rPr>
      </w:pPr>
      <w:r>
        <w:rPr>
          <w:lang w:eastAsia="zh-CN"/>
        </w:rPr>
        <w:t>2.</w:t>
        <w:tab/>
        <w:t xml:space="preserve">The UDM/ARPF performs steps 1-5 as described in </w:t>
      </w:r>
      <w:r>
        <w:rPr/>
        <w:t>TS 33.102, clause 6.3.5.</w:t>
      </w:r>
    </w:p>
    <w:p>
      <w:pPr>
        <w:pStyle w:val="Normal"/>
        <w:rPr>
          <w:b/>
          <w:lang w:eastAsia="zh-CN"/>
        </w:rPr>
      </w:pPr>
      <w:r>
        <w:rPr>
          <w:b/>
          <w:lang w:eastAsia="zh-CN"/>
        </w:rPr>
        <w:t>Expected Results:</w:t>
      </w:r>
    </w:p>
    <w:p>
      <w:pPr>
        <w:pStyle w:val="Normal"/>
        <w:rPr>
          <w:lang w:eastAsia="zh-CN"/>
        </w:rPr>
      </w:pPr>
      <w:r>
        <w:rPr/>
        <w:t>The UDM sends an Nudm_UEAuthentication_Get Response message with a new authentication vector to the AUSF</w:t>
      </w:r>
      <w:r>
        <w:rPr>
          <w:lang w:eastAsia="zh-CN"/>
        </w:rPr>
        <w:t>.</w:t>
      </w:r>
    </w:p>
    <w:p>
      <w:pPr>
        <w:pStyle w:val="NO"/>
        <w:rPr>
          <w:lang w:eastAsia="zh-CN"/>
        </w:rPr>
      </w:pPr>
      <w:r>
        <w:rPr/>
        <w:t>NOTE:</w:t>
        <w:tab/>
        <w:t>The expected results would be that the UDM/AUSF sends an Nausf_UEAuthentication_Authenticate Response message with EAP Request/AKA’-Challenge for EAP AKA’, or 5G SE AV for 5G AKA to the AMF, if the UDM and AUSF network products are collocated without an open N13 interface.</w:t>
      </w:r>
    </w:p>
    <w:p>
      <w:pPr>
        <w:pStyle w:val="Normal"/>
        <w:rPr>
          <w:b/>
          <w:bCs/>
        </w:rPr>
      </w:pPr>
      <w:r>
        <w:rPr>
          <w:b/>
          <w:bCs/>
        </w:rPr>
        <w:t>Expected format of evidence:</w:t>
      </w:r>
    </w:p>
    <w:p>
      <w:pPr>
        <w:pStyle w:val="Normal"/>
        <w:rPr/>
      </w:pPr>
      <w:r>
        <w:rPr/>
        <w:t>Evidence suitable for the interface, e.g., Screenshot, packet capture or application log containing the operational results.</w:t>
      </w:r>
    </w:p>
    <w:p>
      <w:pPr>
        <w:pStyle w:val="Heading4"/>
        <w:rPr/>
      </w:pPr>
      <w:bookmarkStart w:id="40" w:name="__RefHeading___Toc153454914"/>
      <w:r>
        <w:rPr/>
        <w:t>4.2.2.2</w:t>
        <w:tab/>
        <w:t>Storing of authentication status of UE by UDM</w:t>
      </w:r>
      <w:bookmarkEnd w:id="40"/>
      <w:r>
        <w:rPr/>
        <w:t xml:space="preserve"> </w:t>
      </w:r>
    </w:p>
    <w:p>
      <w:pPr>
        <w:pStyle w:val="Normal"/>
        <w:rPr/>
      </w:pPr>
      <w:r>
        <w:rPr>
          <w:i/>
        </w:rPr>
        <w:t>Requirement Name:</w:t>
      </w:r>
      <w:r>
        <w:rPr>
          <w:lang w:eastAsia="ja-JP"/>
        </w:rPr>
        <w:t xml:space="preserve"> Storing of authentication status of UE by UDM. </w:t>
      </w:r>
    </w:p>
    <w:p>
      <w:pPr>
        <w:pStyle w:val="Normal"/>
        <w:rPr/>
      </w:pPr>
      <w:r>
        <w:rPr>
          <w:i/>
        </w:rPr>
        <w:t>Requirement Reference:</w:t>
      </w:r>
      <w:r>
        <w:rPr/>
        <w:t xml:space="preserve"> TS 33.501 [2], clause 6.1.4.1a</w:t>
      </w:r>
    </w:p>
    <w:p>
      <w:pPr>
        <w:pStyle w:val="Normal"/>
        <w:rPr/>
      </w:pPr>
      <w:r>
        <w:rPr>
          <w:i/>
        </w:rPr>
        <w:t>Requirement Description:</w:t>
      </w:r>
      <w:r>
        <w:rPr/>
        <w:t xml:space="preserve"> The UDM stores the authentication status of the UE (SUPI, authentication result, time stamp, and the serving network name) after authentication as specified in TS 33.501 [2], clause 6.1.4.1a.</w:t>
      </w:r>
    </w:p>
    <w:p>
      <w:pPr>
        <w:pStyle w:val="Normal"/>
        <w:rPr/>
      </w:pPr>
      <w:r>
        <w:rPr>
          <w:i/>
        </w:rPr>
        <w:t>Threat References</w:t>
      </w:r>
      <w:r>
        <w:rPr/>
        <w:t>: TR 33.926 [4], clause E.2.2.3, Failure to store of authentication status.</w:t>
      </w:r>
    </w:p>
    <w:p>
      <w:pPr>
        <w:pStyle w:val="Normal"/>
        <w:rPr/>
      </w:pPr>
      <w:r>
        <w:rPr>
          <w:b/>
        </w:rPr>
        <w:t xml:space="preserve">Test Case: </w:t>
      </w:r>
    </w:p>
    <w:p>
      <w:pPr>
        <w:pStyle w:val="Normal"/>
        <w:rPr/>
      </w:pPr>
      <w:r>
        <w:rPr>
          <w:b/>
        </w:rPr>
        <w:t xml:space="preserve">Test Name: </w:t>
      </w:r>
      <w:r>
        <w:rPr/>
        <w:t>TC_AUTH_STATUS_STORE_UDM</w:t>
      </w:r>
    </w:p>
    <w:p>
      <w:pPr>
        <w:pStyle w:val="Normal"/>
        <w:rPr>
          <w:b/>
        </w:rPr>
      </w:pPr>
      <w:r>
        <w:rPr>
          <w:b/>
        </w:rPr>
        <w:t xml:space="preserve">Purpose: </w:t>
      </w:r>
    </w:p>
    <w:p>
      <w:pPr>
        <w:pStyle w:val="Normal"/>
        <w:rPr/>
      </w:pPr>
      <w:r>
        <w:rPr/>
        <w:t>Verify that the UDM under test stores the authentication status of UE.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t>-</w:t>
        <w:tab/>
        <w:t>UDM network product is connected with an AUSF in simulated/real network environment.</w:t>
      </w:r>
    </w:p>
    <w:p>
      <w:pPr>
        <w:pStyle w:val="B1"/>
        <w:rPr>
          <w:rFonts w:eastAsia="Calibri"/>
        </w:rPr>
      </w:pPr>
      <w:r>
        <w:rPr>
          <w:rFonts w:eastAsia="Calibri"/>
        </w:rPr>
        <w:t>-</w:t>
        <w:tab/>
        <w:t>The tester shall have access to the UDM under test.</w:t>
      </w:r>
    </w:p>
    <w:p>
      <w:pPr>
        <w:pStyle w:val="Normal"/>
        <w:rPr>
          <w:b/>
        </w:rPr>
      </w:pPr>
      <w:r>
        <w:rPr>
          <w:b/>
        </w:rPr>
        <w:t xml:space="preserve">Execution Steps: </w:t>
      </w:r>
    </w:p>
    <w:p>
      <w:pPr>
        <w:pStyle w:val="B1"/>
        <w:rPr/>
      </w:pPr>
      <w:r>
        <w:rPr/>
        <w:t>1.</w:t>
        <w:tab/>
        <w:t>The tester shall send an Nudm_UEAuthentication_Get Request message to the UDM with the UE credentials and a selected serving network name.</w:t>
      </w:r>
    </w:p>
    <w:p>
      <w:pPr>
        <w:pStyle w:val="B1"/>
        <w:rPr/>
      </w:pPr>
      <w:r>
        <w:rPr/>
        <w:t xml:space="preserve">2. </w:t>
        <w:tab/>
        <w:t>The tester shall receive a successful Nudm_UEAuthentication_Get Response from the UDM.</w:t>
      </w:r>
    </w:p>
    <w:p>
      <w:pPr>
        <w:pStyle w:val="B1"/>
        <w:rPr/>
      </w:pPr>
      <w:r>
        <w:rPr/>
        <w:t xml:space="preserve">3. </w:t>
        <w:tab/>
        <w:t>The tester shall simulate the successful authentication by sending the Nudm_UEAuthentication_ResultConfirmation Request message with a selected timestamp to the UDM.</w:t>
      </w:r>
    </w:p>
    <w:p>
      <w:pPr>
        <w:pStyle w:val="B1"/>
        <w:rPr/>
      </w:pPr>
      <w:r>
        <w:rPr>
          <w:rFonts w:eastAsia="Calibri"/>
        </w:rPr>
        <w:t>4.</w:t>
        <w:tab/>
        <w:t>The tester shall receive a successful Nudm_UEAuthentication_ResultConfirmation Response message from the UDM.</w:t>
      </w:r>
    </w:p>
    <w:p>
      <w:pPr>
        <w:pStyle w:val="B1"/>
        <w:rPr/>
      </w:pPr>
      <w:r>
        <w:rPr/>
        <w:t>5.</w:t>
        <w:tab/>
        <w:t>The tester shall compare the serving network name stored in the UDM against the serving network name retrieved from the Nudm_UEAuthentication_Get Request message and the serving network name retrieved from the Nudm_UEAuthentication_ResultConfirmation Request message.</w:t>
      </w:r>
    </w:p>
    <w:p>
      <w:pPr>
        <w:pStyle w:val="B1"/>
        <w:rPr/>
      </w:pPr>
      <w:r>
        <w:rPr/>
        <w:t>6.</w:t>
        <w:tab/>
        <w:t>The tester shall compare the SUPI stored in the UDM (retrieved from the Nudm_UEAuthentication_ResultConfirmation Response message) against the SUPI retrieved from the Nudm_UEAuthentication_Get Response message.</w:t>
      </w:r>
    </w:p>
    <w:p>
      <w:pPr>
        <w:pStyle w:val="B1"/>
        <w:rPr/>
      </w:pPr>
      <w:r>
        <w:rPr/>
        <w:t>7.</w:t>
        <w:tab/>
        <w:t>The tester shall compare the timestamp stored in the UDM against the time of authentication procedure retrieved from the Nudm_UEAuthentication_ResultConfirmation Request message.</w:t>
      </w:r>
    </w:p>
    <w:p>
      <w:pPr>
        <w:pStyle w:val="Normal"/>
        <w:rPr>
          <w:b/>
        </w:rPr>
      </w:pPr>
      <w:r>
        <w:rPr>
          <w:b/>
        </w:rPr>
        <w:t>Expected Results:</w:t>
      </w:r>
    </w:p>
    <w:p>
      <w:pPr>
        <w:pStyle w:val="Normal"/>
        <w:rPr/>
      </w:pPr>
      <w:r>
        <w:rPr/>
        <w:t>The storing of authentication status (SUPI,  timestamp, and the serving network name) of UE at the UDM is verified.</w:t>
      </w:r>
    </w:p>
    <w:p>
      <w:pPr>
        <w:pStyle w:val="Normal"/>
        <w:rPr>
          <w:b/>
        </w:rPr>
      </w:pPr>
      <w:r>
        <w:rPr>
          <w:b/>
        </w:rPr>
        <w:t>Expected format of evidence:</w:t>
      </w:r>
    </w:p>
    <w:p>
      <w:pPr>
        <w:pStyle w:val="Normal"/>
        <w:rPr/>
      </w:pPr>
      <w:r>
        <w:rPr/>
        <w:t>Evidence suitable for the interface, e.g., evidence can be presented in the form of packet capture or screenshot/screen-capture.</w:t>
      </w:r>
    </w:p>
    <w:p>
      <w:pPr>
        <w:pStyle w:val="NO"/>
        <w:rPr/>
      </w:pPr>
      <w:r>
        <w:rPr/>
        <w:t>NOTE:</w:t>
        <w:tab/>
        <w:t>Void</w:t>
      </w:r>
    </w:p>
    <w:p>
      <w:pPr>
        <w:pStyle w:val="Heading3"/>
        <w:ind w:hanging="1134" w:left="1134"/>
        <w:rPr/>
      </w:pPr>
      <w:bookmarkStart w:id="41" w:name="__RefHeading___Toc153454915"/>
      <w:bookmarkEnd w:id="41"/>
      <w:r>
        <w:rPr/>
        <w:t>4.2.3</w:t>
        <w:tab/>
        <w:t>Technical Baseline</w:t>
      </w:r>
    </w:p>
    <w:p>
      <w:pPr>
        <w:pStyle w:val="Heading4"/>
        <w:rPr/>
      </w:pPr>
      <w:bookmarkStart w:id="42" w:name="__RefHeading___Toc153454916"/>
      <w:bookmarkEnd w:id="42"/>
      <w:r>
        <w:rPr/>
        <w:t>4.2.3.1</w:t>
        <w:tab/>
        <w:t>Introduction</w:t>
      </w:r>
    </w:p>
    <w:p>
      <w:pPr>
        <w:pStyle w:val="Normal"/>
        <w:rPr/>
      </w:pPr>
      <w:r>
        <w:rPr/>
        <w:t>The present clause provides baseline technical requirements.</w:t>
      </w:r>
    </w:p>
    <w:p>
      <w:pPr>
        <w:pStyle w:val="Heading4"/>
        <w:keepNext w:val="false"/>
        <w:keepLines w:val="false"/>
        <w:rPr/>
      </w:pPr>
      <w:bookmarkStart w:id="43" w:name="__RefHeading___Toc153454917"/>
      <w:bookmarkEnd w:id="43"/>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44" w:name="__RefHeading___Toc153454918"/>
      <w:bookmarkEnd w:id="44"/>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pPr>
      <w:bookmarkStart w:id="45" w:name="__RefHeading___Toc153454919"/>
      <w:bookmarkEnd w:id="45"/>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UDM-specific additions to clause </w:t>
      </w:r>
      <w:r>
        <w:rPr/>
        <w:t>4</w:t>
      </w:r>
      <w:r>
        <w:rPr/>
        <w:t>.</w:t>
      </w:r>
      <w:r>
        <w:rPr/>
        <w:t>2</w:t>
      </w:r>
      <w:r>
        <w:rPr/>
        <w:t>.3</w:t>
      </w:r>
      <w:r>
        <w:rPr/>
        <w:t>.2</w:t>
      </w:r>
      <w:r>
        <w:rPr/>
        <w:t>.2 of TS 33.117 [3].</w:t>
      </w:r>
    </w:p>
    <w:p>
      <w:pPr>
        <w:pStyle w:val="Heading5"/>
        <w:rPr/>
      </w:pPr>
      <w:bookmarkStart w:id="46" w:name="__RefHeading___Toc153454920"/>
      <w:bookmarkEnd w:id="46"/>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UDM-specific additions to clause </w:t>
      </w:r>
      <w:r>
        <w:rPr/>
        <w:t>4</w:t>
      </w:r>
      <w:r>
        <w:rPr/>
        <w:t>.</w:t>
      </w:r>
      <w:r>
        <w:rPr/>
        <w:t>2</w:t>
      </w:r>
      <w:r>
        <w:rPr/>
        <w:t>.3</w:t>
      </w:r>
      <w:r>
        <w:rPr/>
        <w:t>.2</w:t>
      </w:r>
      <w:r>
        <w:rPr/>
        <w:t>.3 of TS 33.117 [3].</w:t>
      </w:r>
    </w:p>
    <w:p>
      <w:pPr>
        <w:pStyle w:val="Heading5"/>
        <w:rPr/>
      </w:pPr>
      <w:bookmarkStart w:id="47" w:name="__RefHeading___Toc153454921"/>
      <w:bookmarkEnd w:id="47"/>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[3].</w:t>
      </w:r>
    </w:p>
    <w:p>
      <w:pPr>
        <w:pStyle w:val="Heading5"/>
        <w:rPr/>
      </w:pPr>
      <w:bookmarkStart w:id="48" w:name="__RefHeading___Toc153454922"/>
      <w:bookmarkEnd w:id="48"/>
      <w:r>
        <w:rPr/>
        <w:t>4.2.3.2.5</w:t>
        <w:tab/>
        <w:t>Logging access to personal data</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49" w:name="__RefHeading___Toc153454923"/>
      <w:bookmarkEnd w:id="49"/>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pPr>
      <w:bookmarkStart w:id="50" w:name="__RefHeading___Toc153454924"/>
      <w:bookmarkEnd w:id="50"/>
      <w:r>
        <w:rPr/>
        <w:t>4.2.3.4</w:t>
        <w:tab/>
        <w:t>Authentication</w:t>
      </w:r>
      <w:r>
        <w:rPr>
          <w:spacing w:val="-17"/>
        </w:rPr>
        <w:t xml:space="preserve"> </w:t>
      </w:r>
      <w:r>
        <w:rPr/>
        <w:t>and</w:t>
      </w:r>
      <w:r>
        <w:rPr>
          <w:spacing w:val="-4"/>
        </w:rPr>
        <w:t xml:space="preserve"> </w:t>
      </w:r>
      <w:r>
        <w:rPr/>
        <w:t>authorization</w:t>
      </w:r>
    </w:p>
    <w:p>
      <w:pPr>
        <w:pStyle w:val="Normal"/>
        <w:rPr/>
      </w:pPr>
      <w:r>
        <w:rPr>
          <w:lang w:eastAsia="zh-CN"/>
        </w:rPr>
        <w:t xml:space="preserve"> </w:t>
      </w:r>
      <w:r>
        <w:rPr>
          <w:color w:val="000000"/>
        </w:rPr>
        <w:t xml:space="preserve">There are no UDM-specific additions to clause </w:t>
      </w:r>
      <w:r>
        <w:rPr>
          <w:color w:val="000000"/>
        </w:rPr>
        <w:t>4</w:t>
      </w:r>
      <w:r>
        <w:rPr>
          <w:color w:val="000000"/>
        </w:rPr>
        <w:t>.</w:t>
      </w:r>
      <w:r>
        <w:rPr>
          <w:color w:val="000000"/>
        </w:rPr>
        <w:t>2</w:t>
      </w:r>
      <w:r>
        <w:rPr>
          <w:color w:val="000000"/>
        </w:rPr>
        <w:t>.3</w:t>
      </w:r>
      <w:r>
        <w:rPr>
          <w:color w:val="000000"/>
        </w:rPr>
        <w:t>.</w:t>
      </w:r>
      <w:r>
        <w:rPr>
          <w:color w:val="000000"/>
        </w:rPr>
        <w:t>4 of TS 33.117 [3].</w:t>
      </w:r>
    </w:p>
    <w:p>
      <w:pPr>
        <w:pStyle w:val="Heading4"/>
        <w:keepNext w:val="false"/>
        <w:keepLines w:val="false"/>
        <w:suppressLineNumbers/>
        <w:suppressAutoHyphens w:val="true"/>
        <w:rPr/>
      </w:pPr>
      <w:bookmarkStart w:id="51" w:name="__RefHeading___Toc153454925"/>
      <w:bookmarkEnd w:id="51"/>
      <w:r>
        <w:rPr/>
        <w:t>4.2.3.5</w:t>
        <w:tab/>
        <w:t>Protecting</w:t>
      </w:r>
      <w:r>
        <w:rPr>
          <w:spacing w:val="-12"/>
        </w:rPr>
        <w:t xml:space="preserve"> </w:t>
      </w:r>
      <w:r>
        <w:rPr/>
        <w:t>sessions</w:t>
      </w:r>
    </w:p>
    <w:p>
      <w:pPr>
        <w:pStyle w:val="Normal"/>
        <w:rPr/>
      </w:pPr>
      <w:r>
        <w:rPr>
          <w:lang w:eastAsia="zh-CN"/>
        </w:rPr>
        <w:t xml:space="preserve"> </w:t>
      </w:r>
      <w:r>
        <w:rPr>
          <w:color w:val="000000"/>
        </w:rPr>
        <w:t xml:space="preserve">There are no UDM-specific additions to clause </w:t>
      </w:r>
      <w:r>
        <w:rPr>
          <w:color w:val="000000"/>
        </w:rPr>
        <w:t>4</w:t>
      </w:r>
      <w:r>
        <w:rPr>
          <w:color w:val="000000"/>
        </w:rPr>
        <w:t>.</w:t>
      </w:r>
      <w:r>
        <w:rPr>
          <w:color w:val="000000"/>
        </w:rPr>
        <w:t>2</w:t>
      </w:r>
      <w:r>
        <w:rPr>
          <w:color w:val="000000"/>
        </w:rPr>
        <w:t>.3</w:t>
      </w:r>
      <w:r>
        <w:rPr>
          <w:color w:val="000000"/>
        </w:rPr>
        <w:t>.</w:t>
      </w:r>
      <w:r>
        <w:rPr>
          <w:color w:val="000000"/>
        </w:rPr>
        <w:t>5 of TS 33.117 [3].</w:t>
      </w:r>
    </w:p>
    <w:p>
      <w:pPr>
        <w:pStyle w:val="Heading4"/>
        <w:keepNext w:val="false"/>
        <w:keepLines w:val="false"/>
        <w:suppressLineNumbers/>
        <w:suppressAutoHyphens w:val="true"/>
        <w:rPr/>
      </w:pPr>
      <w:bookmarkStart w:id="52" w:name="__RefHeading___Toc153454926"/>
      <w:bookmarkEnd w:id="52"/>
      <w:r>
        <w:rPr/>
        <w:t>4.2.3.6</w:t>
        <w:tab/>
        <w:t>Logging</w:t>
      </w:r>
    </w:p>
    <w:p>
      <w:pPr>
        <w:pStyle w:val="Normal"/>
        <w:rPr>
          <w:lang w:eastAsia="zh-CN"/>
        </w:rPr>
      </w:pPr>
      <w:r>
        <w:rPr>
          <w:lang w:eastAsia="zh-CN"/>
        </w:rPr>
        <w:t xml:space="preserve"> </w:t>
      </w: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keepNext w:val="false"/>
        <w:keepLines w:val="false"/>
        <w:suppressLineNumbers/>
        <w:suppressAutoHyphens w:val="true"/>
        <w:ind w:hanging="1134" w:left="1134"/>
        <w:rPr/>
      </w:pPr>
      <w:bookmarkStart w:id="53" w:name="__RefHeading___Toc153454927"/>
      <w:bookmarkEnd w:id="53"/>
      <w:r>
        <w:rPr/>
        <w:t>4.2.4</w:t>
        <w:tab/>
        <w:t>Operating Systems</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.4 of TS 33.117 [3].</w:t>
      </w:r>
      <w:r>
        <w:rPr>
          <w:lang w:eastAsia="zh-CN"/>
        </w:rPr>
        <w:t xml:space="preserve"> </w:t>
      </w:r>
    </w:p>
    <w:p>
      <w:pPr>
        <w:pStyle w:val="Heading3"/>
        <w:keepNext w:val="false"/>
        <w:keepLines w:val="false"/>
        <w:suppressLineNumbers/>
        <w:suppressAutoHyphens w:val="true"/>
        <w:ind w:hanging="1134" w:left="1134"/>
        <w:rPr/>
      </w:pPr>
      <w:bookmarkStart w:id="54" w:name="__RefHeading___Toc153454928"/>
      <w:bookmarkEnd w:id="54"/>
      <w:r>
        <w:rPr/>
        <w:t>4.2.5</w:t>
        <w:tab/>
        <w:t>Web Servers</w:t>
      </w:r>
    </w:p>
    <w:p>
      <w:pPr>
        <w:pStyle w:val="Normal"/>
        <w:rPr>
          <w:lang w:eastAsia="zh-CN"/>
        </w:rPr>
      </w:pPr>
      <w:r>
        <w:rPr>
          <w:lang w:eastAsia="zh-CN"/>
        </w:rPr>
        <w:t xml:space="preserve"> </w:t>
      </w:r>
      <w:r>
        <w:rPr>
          <w:color w:val="000000"/>
        </w:rPr>
        <w:t xml:space="preserve">There are no UDM-specific additions to clause </w:t>
      </w:r>
      <w:r>
        <w:rPr>
          <w:color w:val="000000"/>
        </w:rPr>
        <w:t>4</w:t>
      </w:r>
      <w:r>
        <w:rPr>
          <w:color w:val="000000"/>
        </w:rPr>
        <w:t>.</w:t>
      </w:r>
      <w:r>
        <w:rPr>
          <w:color w:val="000000"/>
          <w:lang w:eastAsia="zh-CN"/>
        </w:rPr>
        <w:t>2</w:t>
      </w:r>
      <w:r>
        <w:rPr>
          <w:color w:val="000000"/>
        </w:rPr>
        <w:t>.5 of TS 33.117 [3].</w:t>
      </w:r>
    </w:p>
    <w:p>
      <w:pPr>
        <w:pStyle w:val="Heading3"/>
        <w:keepNext w:val="false"/>
        <w:keepLines w:val="false"/>
        <w:suppressLineNumbers/>
        <w:suppressAutoHyphens w:val="true"/>
        <w:ind w:hanging="1134" w:left="1134"/>
        <w:rPr/>
      </w:pPr>
      <w:bookmarkStart w:id="55" w:name="__RefHeading___Toc153454929"/>
      <w:bookmarkEnd w:id="55"/>
      <w:r>
        <w:rPr/>
        <w:t>4.2.6</w:t>
        <w:tab/>
        <w:t>Network Devices</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.6 of TS 33.117 [3].</w:t>
      </w:r>
      <w:r>
        <w:rPr>
          <w:lang w:eastAsia="zh-CN"/>
        </w:rPr>
        <w:t xml:space="preserve"> </w:t>
      </w:r>
    </w:p>
    <w:p>
      <w:pPr>
        <w:pStyle w:val="Heading3"/>
        <w:ind w:hanging="1134" w:left="1134"/>
        <w:rPr/>
      </w:pPr>
      <w:bookmarkStart w:id="56" w:name="__RefHeading___Toc153454930"/>
      <w:bookmarkEnd w:id="56"/>
      <w:r>
        <w:rPr/>
        <w:t>4.2.7</w:t>
        <w:tab/>
        <w:t>User plane security procedures</w:t>
      </w:r>
    </w:p>
    <w:p>
      <w:pPr>
        <w:pStyle w:val="Heading4"/>
        <w:rPr/>
      </w:pPr>
      <w:bookmarkStart w:id="57" w:name="__RefHeading___Toc153454931"/>
      <w:bookmarkEnd w:id="57"/>
      <w:r>
        <w:rPr/>
        <w:t>4.2.7.1</w:t>
        <w:tab/>
        <w:t>UP Security enforcement configuration for TSC service</w:t>
      </w:r>
    </w:p>
    <w:p>
      <w:pPr>
        <w:pStyle w:val="Normal"/>
        <w:rPr>
          <w:lang w:eastAsia="zh-CN"/>
        </w:rPr>
      </w:pPr>
      <w:r>
        <w:rPr>
          <w:i/>
        </w:rPr>
        <w:t>Requirement Name</w:t>
      </w:r>
      <w:r>
        <w:rPr/>
        <w:t>: UP security enforcement configuration</w:t>
      </w:r>
    </w:p>
    <w:p>
      <w:pPr>
        <w:pStyle w:val="Normal"/>
        <w:rPr/>
      </w:pPr>
      <w:r>
        <w:rPr>
          <w:i/>
        </w:rPr>
        <w:t xml:space="preserve">Requirement Reference: </w:t>
      </w:r>
      <w:r>
        <w:rPr/>
        <w:t>TS 33.501 [2], clause L.3, TS 23.501 [5], clause 5.10.3.</w:t>
      </w:r>
    </w:p>
    <w:p>
      <w:pPr>
        <w:pStyle w:val="Normal"/>
        <w:rPr/>
      </w:pPr>
      <w:r>
        <w:rPr>
          <w:i/>
        </w:rPr>
        <w:t>Requirement Description</w:t>
      </w:r>
      <w:r>
        <w:rPr/>
        <w:t xml:space="preserve">: </w:t>
      </w:r>
    </w:p>
    <w:p>
      <w:pPr>
        <w:pStyle w:val="Normal"/>
        <w:rPr/>
      </w:pPr>
      <w:r>
        <w:rPr/>
        <w:t xml:space="preserve">"After the 5GS TSC-enabled UE is authenticated and data connection is set up, any data received from a TSC bridge or another 5GS TSC-enabled UE shall be transported between DS-TT (in the UE) and NW-TT (in the UPF) in a protected way using the mechanisms for UP security as described in clause 6.6. </w:t>
      </w:r>
    </w:p>
    <w:p>
      <w:pPr>
        <w:pStyle w:val="Normal"/>
        <w:rPr/>
      </w:pPr>
      <w:r>
        <w:rPr/>
        <w:t>The UP security enforcement information shall be set to "required" for data transferred from gNB to a 5GS TSC-enabled UE. This is also applicable to the gPTP messages sent in the user plane."</w:t>
      </w:r>
    </w:p>
    <w:p>
      <w:pPr>
        <w:pStyle w:val="Normal"/>
        <w:rPr/>
      </w:pPr>
      <w:r>
        <w:rPr>
          <w:lang w:eastAsia="zh-CN"/>
        </w:rPr>
        <w:t xml:space="preserve">as specified in </w:t>
      </w:r>
      <w:r>
        <w:rPr/>
        <w:t>TS 33.501 [2], clause L.3.</w:t>
      </w:r>
    </w:p>
    <w:p>
      <w:pPr>
        <w:pStyle w:val="Normal"/>
        <w:rPr/>
      </w:pPr>
      <w:r>
        <w:rPr/>
        <w:t>"The SMF determines at PDU session establishment a User Plane Security Enforcement information for the user plane of a PDU session based on:</w:t>
      </w:r>
    </w:p>
    <w:p>
      <w:pPr>
        <w:pStyle w:val="B1"/>
        <w:rPr/>
      </w:pPr>
      <w:r>
        <w:rPr/>
        <w:t>-</w:t>
        <w:tab/>
        <w:t>subscribed User Plane Security Policy which is part of SM subscription information received from UDM; and</w:t>
      </w:r>
    </w:p>
    <w:p>
      <w:pPr>
        <w:pStyle w:val="B1"/>
        <w:rPr/>
      </w:pPr>
      <w:r>
        <w:rPr/>
        <w:t>-</w:t>
        <w:tab/>
        <w:t>User Plane Security Policy locally configured per (DNN, S-NSSAI) in the SMF that is used when the UDM does not provide User Plane Security Policy information.</w:t>
      </w:r>
    </w:p>
    <w:p>
      <w:pPr>
        <w:pStyle w:val="B1"/>
        <w:rPr/>
      </w:pPr>
      <w:r>
        <w:rPr/>
        <w:t>-</w:t>
        <w:tab/>
        <w:t>The maximum supported data rate per UE for integrity protection for the DRBs, provided by the UE in the Integrity protection maximum data rate IE during PDU Session Establishment. The UE supporting NR as primary RAT, i.e. NG-RAN access via Standalone NR, shall set the Integrity protection maximum data rate IE for Uplink and Downlink to full rate at PDU Session Establishment as defined in TS 24.501 [47]."</w:t>
      </w:r>
    </w:p>
    <w:p>
      <w:pPr>
        <w:pStyle w:val="Normal"/>
        <w:rPr/>
      </w:pPr>
      <w:r>
        <w:rPr>
          <w:lang w:eastAsia="zh-CN"/>
        </w:rPr>
        <w:t xml:space="preserve">as specified in </w:t>
      </w:r>
      <w:r>
        <w:rPr/>
        <w:t>TS 23.501 [5], clause 5.10.3.</w:t>
      </w:r>
    </w:p>
    <w:p>
      <w:pPr>
        <w:pStyle w:val="Normal"/>
        <w:rPr/>
      </w:pPr>
      <w:r>
        <w:rPr>
          <w:i/>
        </w:rPr>
        <w:t>Threat References</w:t>
      </w:r>
      <w:r>
        <w:rPr/>
        <w:t>: TR 33.926 [4].</w:t>
      </w:r>
    </w:p>
    <w:p>
      <w:pPr>
        <w:pStyle w:val="NO"/>
        <w:rPr/>
      </w:pPr>
      <w:r>
        <w:rPr>
          <w:lang w:eastAsia="zh-CN"/>
        </w:rPr>
        <w:t>NOTE:</w:t>
        <w:tab/>
        <w:t xml:space="preserve">The test case below only applies to the UDMs which support the setting and providing of User Plane Security Policy for dedicated TSC service. </w:t>
      </w:r>
    </w:p>
    <w:p>
      <w:pPr>
        <w:pStyle w:val="Normal"/>
        <w:rPr/>
      </w:pPr>
      <w:r>
        <w:rPr>
          <w:i/>
        </w:rPr>
        <w:t>Test Case</w:t>
      </w:r>
      <w:r>
        <w:rPr/>
        <w:t>:</w:t>
      </w:r>
    </w:p>
    <w:p>
      <w:pPr>
        <w:pStyle w:val="Normal"/>
        <w:rPr>
          <w:b/>
          <w:lang w:eastAsia="zh-CN"/>
        </w:rPr>
      </w:pPr>
      <w:r>
        <w:rPr/>
        <w:t xml:space="preserve">Test Name: TC_UP_SECURITY_ENFORCEMENT_CONFIGURATION </w:t>
      </w:r>
    </w:p>
    <w:p>
      <w:pPr>
        <w:pStyle w:val="Normal"/>
        <w:rPr>
          <w:b/>
          <w:lang w:eastAsia="zh-CN"/>
        </w:rPr>
      </w:pPr>
      <w:r>
        <w:rPr>
          <w:b/>
          <w:lang w:eastAsia="zh-CN"/>
        </w:rPr>
        <w:t>Purpose:</w:t>
      </w:r>
    </w:p>
    <w:p>
      <w:pPr>
        <w:pStyle w:val="Normal"/>
        <w:rPr/>
      </w:pPr>
      <w:r>
        <w:rPr>
          <w:lang w:eastAsia="zh-CN"/>
        </w:rPr>
        <w:t xml:space="preserve">Verify that </w:t>
      </w:r>
      <w:r>
        <w:rPr/>
        <w:t>UP security enforcement information is set to "required" for dedicated TSC service</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SMF. The SMF may be simulated. </w:t>
      </w:r>
    </w:p>
    <w:p>
      <w:pPr>
        <w:pStyle w:val="Normal"/>
        <w:rPr/>
      </w:pPr>
      <w:r>
        <w:rPr>
          <w:lang w:eastAsia="zh-CN"/>
        </w:rPr>
        <w:t>A dedicated DNN/S-NSSAI combination is defined to identify the TSC service.</w:t>
      </w:r>
    </w:p>
    <w:p>
      <w:pPr>
        <w:pStyle w:val="Normal"/>
        <w:rPr>
          <w:lang w:eastAsia="zh-CN"/>
        </w:rPr>
      </w:pPr>
      <w:r>
        <w:rPr>
          <w:lang w:eastAsia="zh-CN"/>
        </w:rPr>
        <w:t>The security policy is configured in the UDM.</w:t>
      </w:r>
    </w:p>
    <w:p>
      <w:pPr>
        <w:pStyle w:val="Normal"/>
        <w:rPr>
          <w:b/>
          <w:lang w:eastAsia="zh-CN"/>
        </w:rPr>
      </w:pPr>
      <w:r>
        <w:rPr>
          <w:b/>
          <w:lang w:eastAsia="zh-CN"/>
        </w:rPr>
        <w:t>Execution Steps</w:t>
      </w:r>
    </w:p>
    <w:p>
      <w:pPr>
        <w:pStyle w:val="B1"/>
        <w:rPr/>
      </w:pPr>
      <w:r>
        <w:rPr>
          <w:lang w:eastAsia="zh-CN"/>
        </w:rPr>
        <w:t>1.</w:t>
        <w:tab/>
        <w:t xml:space="preserve">During the PDU session establishment procedure, the SMF sends </w:t>
      </w:r>
      <w:r>
        <w:rPr/>
        <w:t xml:space="preserve">a Nudm_SDM_Get Request message to the UDM under test with a </w:t>
      </w:r>
      <w:r>
        <w:rPr>
          <w:lang w:eastAsia="zh-CN"/>
        </w:rPr>
        <w:t>dedicated DNN/S-NSSAI combination.</w:t>
      </w:r>
    </w:p>
    <w:p>
      <w:pPr>
        <w:pStyle w:val="B1"/>
        <w:rPr>
          <w:lang w:eastAsia="zh-CN"/>
        </w:rPr>
      </w:pPr>
      <w:r>
        <w:rPr>
          <w:lang w:eastAsia="zh-CN"/>
        </w:rPr>
        <w:t>2.</w:t>
        <w:tab/>
        <w:t xml:space="preserve">The UDM under test sends the </w:t>
      </w:r>
      <w:r>
        <w:rPr/>
        <w:t>Nudm_SDM_Get Response back to the SMF with UP security enforcement information.</w:t>
      </w:r>
    </w:p>
    <w:p>
      <w:pPr>
        <w:pStyle w:val="Normal"/>
        <w:rPr>
          <w:b/>
          <w:lang w:eastAsia="zh-CN"/>
        </w:rPr>
      </w:pPr>
      <w:r>
        <w:rPr>
          <w:b/>
          <w:lang w:eastAsia="zh-CN"/>
        </w:rPr>
        <w:t>Expected Results:</w:t>
      </w:r>
    </w:p>
    <w:p>
      <w:pPr>
        <w:pStyle w:val="Normal"/>
        <w:rPr/>
      </w:pPr>
      <w:r>
        <w:rPr/>
        <w:t>The confidentiality and integrity protection requirements of the UP security enforcement information are set to "required".</w:t>
      </w:r>
    </w:p>
    <w:p>
      <w:pPr>
        <w:pStyle w:val="Normal"/>
        <w:rPr/>
      </w:pPr>
      <w:r>
        <w:rPr>
          <w:rFonts w:cs="Arial"/>
          <w:b/>
          <w:color w:val="000000"/>
        </w:rPr>
        <w:t>Expected format of evidence:</w:t>
      </w:r>
    </w:p>
    <w:p>
      <w:pPr>
        <w:pStyle w:val="Normal"/>
        <w:rPr/>
      </w:pPr>
      <w:r>
        <w:rPr/>
        <w:t>Save the logs and the communication flow in a .pcap file.</w:t>
      </w:r>
    </w:p>
    <w:p>
      <w:pPr>
        <w:pStyle w:val="Heading3"/>
        <w:ind w:hanging="1134" w:left="1134"/>
        <w:rPr/>
      </w:pPr>
      <w:bookmarkStart w:id="58" w:name="__RefHeading___Toc153454932"/>
      <w:bookmarkEnd w:id="58"/>
      <w:r>
        <w:rPr/>
        <w:t>4.2.8</w:t>
        <w:tab/>
        <w:t>User plane security procedures</w:t>
      </w:r>
    </w:p>
    <w:p>
      <w:pPr>
        <w:pStyle w:val="Heading4"/>
        <w:rPr/>
      </w:pPr>
      <w:bookmarkStart w:id="59" w:name="__RefHeading___Toc153454933"/>
      <w:bookmarkEnd w:id="59"/>
      <w:r>
        <w:rPr/>
        <w:t>4.2.8.1</w:t>
        <w:tab/>
        <w:t>UP security policy configuration for 5G LAN service</w:t>
      </w:r>
    </w:p>
    <w:p>
      <w:pPr>
        <w:pStyle w:val="Normal"/>
        <w:rPr>
          <w:lang w:eastAsia="zh-CN"/>
        </w:rPr>
      </w:pPr>
      <w:r>
        <w:rPr>
          <w:i/>
        </w:rPr>
        <w:t>Requirement Name</w:t>
      </w:r>
      <w:r>
        <w:rPr/>
        <w:t>: UP security enforcement configuration</w:t>
      </w:r>
    </w:p>
    <w:p>
      <w:pPr>
        <w:pStyle w:val="Normal"/>
        <w:rPr/>
      </w:pPr>
      <w:r>
        <w:rPr>
          <w:i/>
        </w:rPr>
        <w:t xml:space="preserve">Requirement Reference: </w:t>
      </w:r>
      <w:r>
        <w:rPr/>
        <w:t>TS 33.501 [2], clause K.3, TS 23.501 [5], clause 5.10.3.</w:t>
      </w:r>
    </w:p>
    <w:p>
      <w:pPr>
        <w:pStyle w:val="Normal"/>
        <w:rPr/>
      </w:pPr>
      <w:r>
        <w:rPr>
          <w:i/>
        </w:rPr>
        <w:t>Requirement Description</w:t>
      </w:r>
      <w:r>
        <w:rPr/>
        <w:t xml:space="preserve">: "To reduce incremental complexity added by security, </w:t>
      </w:r>
      <w:r>
        <w:rPr>
          <w:lang w:val="en-US"/>
        </w:rPr>
        <w:t xml:space="preserve">all PDU sessions associated with a specific 5G LAN group should have the same UP security policy. </w:t>
      </w:r>
      <w:r>
        <w:rPr/>
        <w:t>When generating the policy enforcement information, and to avoid the redundant double protection, the SMF may consider information by a DN-AAA about DN protection mechanisms already applied."</w:t>
      </w:r>
    </w:p>
    <w:p>
      <w:pPr>
        <w:pStyle w:val="Normal"/>
        <w:rPr/>
      </w:pPr>
      <w:r>
        <w:rPr>
          <w:lang w:eastAsia="zh-CN"/>
        </w:rPr>
        <w:t xml:space="preserve">as specified in </w:t>
      </w:r>
      <w:r>
        <w:rPr/>
        <w:t>TS 33.501 [2], clause K.3.</w:t>
      </w:r>
    </w:p>
    <w:p>
      <w:pPr>
        <w:pStyle w:val="Normal"/>
        <w:rPr/>
      </w:pPr>
      <w:r>
        <w:rPr/>
        <w:t>"The SMF determines at PDU session establishment a User Plane Security Enforcement information for the user plane of a PDU session based on:</w:t>
      </w:r>
    </w:p>
    <w:p>
      <w:pPr>
        <w:pStyle w:val="B1"/>
        <w:rPr/>
      </w:pPr>
      <w:r>
        <w:rPr/>
        <w:t>-</w:t>
        <w:tab/>
        <w:t>subscribed User Plane Security Policy which is part of SM subscription information received from UDM; and</w:t>
      </w:r>
    </w:p>
    <w:p>
      <w:pPr>
        <w:pStyle w:val="B1"/>
        <w:rPr/>
      </w:pPr>
      <w:r>
        <w:rPr/>
        <w:t>-</w:t>
        <w:tab/>
        <w:t>User Plane Security Policy locally configured per (DNN, S-NSSAI) in the SMF that is used when the UDM does not provide User Plane Security Policy information.</w:t>
      </w:r>
    </w:p>
    <w:p>
      <w:pPr>
        <w:pStyle w:val="B1"/>
        <w:rPr/>
      </w:pPr>
      <w:r>
        <w:rPr/>
        <w:t>-</w:t>
        <w:tab/>
        <w:t>The maximum supported data rate per UE for integrity protection for the DRBs, provided by the UE in the Integrity protection maximum data rate IE during PDU Session Establishment. The UE supporting NR as primary RAT, i.e. NG-RAN access via Standalone NR, shall set the Integrity protection maximum data rate IE for Uplink and Downlink to full rate at PDU Session Establishment as defined in TS 24.501 [47]."</w:t>
      </w:r>
    </w:p>
    <w:p>
      <w:pPr>
        <w:pStyle w:val="Normal"/>
        <w:rPr/>
      </w:pPr>
      <w:r>
        <w:rPr>
          <w:lang w:eastAsia="zh-CN"/>
        </w:rPr>
        <w:t xml:space="preserve">as specified in </w:t>
      </w:r>
      <w:r>
        <w:rPr/>
        <w:t>TS 23.501 [5], clause 5.10.3.</w:t>
      </w:r>
    </w:p>
    <w:p>
      <w:pPr>
        <w:pStyle w:val="Normal"/>
        <w:rPr/>
      </w:pPr>
      <w:r>
        <w:rPr>
          <w:i/>
        </w:rPr>
        <w:t>Threat References</w:t>
      </w:r>
      <w:r>
        <w:rPr/>
        <w:t>: TR 33.926 [4].</w:t>
      </w:r>
    </w:p>
    <w:p>
      <w:pPr>
        <w:pStyle w:val="NO"/>
        <w:rPr/>
      </w:pPr>
      <w:r>
        <w:rPr>
          <w:lang w:eastAsia="zh-CN"/>
        </w:rPr>
        <w:t>NOTE 1:</w:t>
        <w:tab/>
        <w:t xml:space="preserve">The test case below only applies to the UDMs which support the setting and providing of User Plane Security Policy for 5G LAN service. </w:t>
      </w:r>
    </w:p>
    <w:p>
      <w:pPr>
        <w:pStyle w:val="Normal"/>
        <w:rPr/>
      </w:pPr>
      <w:r>
        <w:rPr>
          <w:i/>
        </w:rPr>
        <w:t>Test Case</w:t>
      </w:r>
      <w:r>
        <w:rPr/>
        <w:t xml:space="preserve">: </w:t>
      </w:r>
    </w:p>
    <w:p>
      <w:pPr>
        <w:pStyle w:val="Normal"/>
        <w:rPr>
          <w:b/>
          <w:lang w:eastAsia="zh-CN"/>
        </w:rPr>
      </w:pPr>
      <w:r>
        <w:rPr/>
        <w:t>Test Name: TC_UP_SECURITY_ENFORCEMENT_CONFIGURATION_FOR_5G_LAN</w:t>
      </w:r>
    </w:p>
    <w:p>
      <w:pPr>
        <w:pStyle w:val="Normal"/>
        <w:rPr>
          <w:b/>
          <w:lang w:eastAsia="zh-CN"/>
        </w:rPr>
      </w:pPr>
      <w:r>
        <w:rPr>
          <w:b/>
          <w:lang w:eastAsia="zh-CN"/>
        </w:rPr>
        <w:t>Purpose:</w:t>
      </w:r>
    </w:p>
    <w:p>
      <w:pPr>
        <w:pStyle w:val="Normal"/>
        <w:rPr/>
      </w:pPr>
      <w:r>
        <w:rPr>
          <w:lang w:eastAsia="zh-CN"/>
        </w:rPr>
        <w:t xml:space="preserve">Verify that </w:t>
      </w:r>
      <w:r>
        <w:rPr/>
        <w:t>UP security policy is set to the same for all the 5G LAN UEs.</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SMF. The SMF may be simulated. </w:t>
      </w:r>
    </w:p>
    <w:p>
      <w:pPr>
        <w:pStyle w:val="Normal"/>
        <w:rPr/>
      </w:pPr>
      <w:r>
        <w:rPr>
          <w:lang w:eastAsia="zh-CN"/>
        </w:rPr>
        <w:t>A dedicated DNN/S-NSSAI combination is defined to identify the 5G LAN service.</w:t>
      </w:r>
    </w:p>
    <w:p>
      <w:pPr>
        <w:pStyle w:val="Normal"/>
        <w:rPr>
          <w:lang w:eastAsia="zh-CN"/>
        </w:rPr>
      </w:pPr>
      <w:r>
        <w:rPr>
          <w:lang w:eastAsia="zh-CN"/>
        </w:rPr>
        <w:t>The security policy of the 5G LAN service is configured in the UDM.</w:t>
      </w:r>
    </w:p>
    <w:p>
      <w:pPr>
        <w:pStyle w:val="Normal"/>
        <w:rPr>
          <w:b/>
          <w:lang w:eastAsia="zh-CN"/>
        </w:rPr>
      </w:pPr>
      <w:r>
        <w:rPr>
          <w:b/>
          <w:lang w:eastAsia="zh-CN"/>
        </w:rPr>
        <w:t>Execution Steps</w:t>
      </w:r>
    </w:p>
    <w:p>
      <w:pPr>
        <w:pStyle w:val="B1"/>
        <w:rPr/>
      </w:pPr>
      <w:r>
        <w:rPr>
          <w:lang w:eastAsia="zh-CN"/>
        </w:rPr>
        <w:t>1.</w:t>
        <w:tab/>
        <w:t xml:space="preserve">During the PDU session establishment procedure initiated by the UE1, the SMF1 sends </w:t>
      </w:r>
      <w:r>
        <w:rPr/>
        <w:t xml:space="preserve">a Nudm_SDM_Get Request message to the UDM under test with a </w:t>
      </w:r>
      <w:r>
        <w:rPr>
          <w:lang w:eastAsia="zh-CN"/>
        </w:rPr>
        <w:t>dedicated DNN/S-NSSAI combination, and SUPI1.</w:t>
      </w:r>
    </w:p>
    <w:p>
      <w:pPr>
        <w:pStyle w:val="B1"/>
        <w:rPr/>
      </w:pPr>
      <w:r>
        <w:rPr>
          <w:lang w:eastAsia="zh-CN"/>
        </w:rPr>
        <w:t>2.</w:t>
        <w:tab/>
        <w:t xml:space="preserve">The UDM under test sends the </w:t>
      </w:r>
      <w:r>
        <w:rPr/>
        <w:t>Nudm_SDM_Get Response back to the SMF1 with UP security policy1.</w:t>
      </w:r>
    </w:p>
    <w:p>
      <w:pPr>
        <w:pStyle w:val="B1"/>
        <w:rPr/>
      </w:pPr>
      <w:r>
        <w:rPr>
          <w:lang w:eastAsia="zh-CN"/>
        </w:rPr>
        <w:t>3.</w:t>
        <w:tab/>
        <w:t xml:space="preserve">During the PDU session establishment procedure initiated by the UE2, the SMF2 sends </w:t>
      </w:r>
      <w:r>
        <w:rPr/>
        <w:t xml:space="preserve">a Nudm_SDM_Get Request message to the UDM under test with a </w:t>
      </w:r>
      <w:r>
        <w:rPr>
          <w:lang w:eastAsia="zh-CN"/>
        </w:rPr>
        <w:t>dedicated DNN/S-NSSAI combination, and SUPI2.</w:t>
      </w:r>
    </w:p>
    <w:p>
      <w:pPr>
        <w:pStyle w:val="B1"/>
        <w:rPr/>
      </w:pPr>
      <w:r>
        <w:rPr>
          <w:lang w:eastAsia="zh-CN"/>
        </w:rPr>
        <w:t>4.</w:t>
        <w:tab/>
        <w:t xml:space="preserve">The UDM under test sends the </w:t>
      </w:r>
      <w:r>
        <w:rPr/>
        <w:t>Nudm_SDM_Get Response back to the SMF2 with UP security policy2.</w:t>
      </w:r>
    </w:p>
    <w:p>
      <w:pPr>
        <w:pStyle w:val="NO"/>
        <w:rPr/>
      </w:pPr>
      <w:r>
        <w:rPr>
          <w:lang w:eastAsia="zh-CN"/>
        </w:rPr>
        <w:t>NOTE 2</w:t>
      </w:r>
      <w:r>
        <w:rPr/>
        <w:t>:</w:t>
        <w:tab/>
        <w:t>SMF1 and SMF2 could be the same network function.</w:t>
      </w:r>
    </w:p>
    <w:p>
      <w:pPr>
        <w:pStyle w:val="Normal"/>
        <w:rPr>
          <w:b/>
          <w:lang w:eastAsia="zh-CN"/>
        </w:rPr>
      </w:pPr>
      <w:r>
        <w:rPr>
          <w:b/>
          <w:lang w:eastAsia="zh-CN"/>
        </w:rPr>
        <w:t>Expected Results:</w:t>
      </w:r>
    </w:p>
    <w:p>
      <w:pPr>
        <w:pStyle w:val="Normal"/>
        <w:rPr/>
      </w:pPr>
      <w:r>
        <w:rPr/>
        <w:t>The confidentiality and integrity protection requirements of the UP security policy1 and UP security policy2 are the same.</w:t>
      </w:r>
    </w:p>
    <w:p>
      <w:pPr>
        <w:pStyle w:val="Normal"/>
        <w:rPr>
          <w:rFonts w:cs="Arial"/>
          <w:b/>
          <w:color w:val="000000"/>
        </w:rPr>
      </w:pPr>
      <w:r>
        <w:rPr>
          <w:rFonts w:cs="Arial"/>
          <w:b/>
          <w:color w:val="000000"/>
        </w:rPr>
        <w:t>Expected format of evidence:</w:t>
      </w:r>
    </w:p>
    <w:p>
      <w:pPr>
        <w:pStyle w:val="Normal"/>
        <w:rPr/>
      </w:pPr>
      <w:r>
        <w:rPr/>
        <w:t>Save the logs and the communication flow in a .pcap file.</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60" w:name="__RefHeading___Toc153454934"/>
      <w:bookmarkEnd w:id="60"/>
      <w:r>
        <w:rPr/>
        <w:t>4.3</w:t>
        <w:tab/>
      </w:r>
      <w:r>
        <w:rPr>
          <w:lang w:eastAsia="zh-CN"/>
        </w:rPr>
        <w:t>UDM</w:t>
      </w:r>
      <w:r>
        <w:rPr/>
        <w:t>-specific adaptations of hardening requirements and related test cases</w:t>
      </w:r>
    </w:p>
    <w:p>
      <w:pPr>
        <w:pStyle w:val="Heading3"/>
        <w:ind w:hanging="1134" w:left="1134"/>
        <w:rPr/>
      </w:pPr>
      <w:bookmarkStart w:id="61" w:name="__RefHeading___Toc153454935"/>
      <w:bookmarkEnd w:id="61"/>
      <w:r>
        <w:rPr/>
        <w:t>4.3.1</w:t>
        <w:tab/>
        <w:t>Introduction</w:t>
      </w:r>
    </w:p>
    <w:p>
      <w:pPr>
        <w:pStyle w:val="Normal"/>
        <w:rPr/>
      </w:pPr>
      <w:r>
        <w:rPr>
          <w:lang w:eastAsia="zh-CN"/>
        </w:rPr>
        <w:t>The present clause contains UDM</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62" w:name="__RefHeading___Toc153454936"/>
      <w:bookmarkEnd w:id="62"/>
      <w:r>
        <w:rPr/>
        <w:t>4.3.2</w:t>
        <w:tab/>
        <w:t>Technical baseline</w:t>
      </w:r>
    </w:p>
    <w:p>
      <w:pPr>
        <w:pStyle w:val="Normal"/>
        <w:rPr/>
      </w:pPr>
      <w:r>
        <w:rPr>
          <w:color w:val="000000"/>
        </w:rPr>
        <w:t xml:space="preserve">There are no UDM-specific additions to clause </w:t>
      </w:r>
      <w:r>
        <w:rPr>
          <w:color w:val="000000"/>
        </w:rPr>
        <w:t>4</w:t>
      </w:r>
      <w:r>
        <w:rPr>
          <w:color w:val="000000"/>
        </w:rPr>
        <w:t>.</w:t>
      </w:r>
      <w:r>
        <w:rPr>
          <w:color w:val="000000"/>
          <w:lang w:eastAsia="zh-CN"/>
        </w:rPr>
        <w:t>3.2</w:t>
      </w:r>
      <w:r>
        <w:rPr>
          <w:color w:val="000000"/>
        </w:rPr>
        <w:t xml:space="preserve"> of TS 33.117 [3].</w:t>
      </w:r>
    </w:p>
    <w:p>
      <w:pPr>
        <w:pStyle w:val="Heading3"/>
        <w:ind w:hanging="1134" w:left="1134"/>
        <w:rPr/>
      </w:pPr>
      <w:bookmarkStart w:id="63" w:name="__RefHeading___Toc153454937"/>
      <w:bookmarkEnd w:id="63"/>
      <w:r>
        <w:rPr/>
        <w:t>4.3.3</w:t>
        <w:tab/>
        <w:t>Operating systems</w:t>
      </w:r>
    </w:p>
    <w:p>
      <w:pPr>
        <w:pStyle w:val="Normal"/>
        <w:rPr/>
      </w:pPr>
      <w:r>
        <w:rPr>
          <w:color w:val="000000"/>
        </w:rPr>
        <w:t xml:space="preserve">There are no UDM-specific additions to clause </w:t>
      </w:r>
      <w:r>
        <w:rPr>
          <w:color w:val="000000"/>
        </w:rPr>
        <w:t>4</w:t>
      </w:r>
      <w:r>
        <w:rPr>
          <w:color w:val="000000"/>
        </w:rPr>
        <w:t>.</w:t>
      </w:r>
      <w:r>
        <w:rPr>
          <w:color w:val="000000"/>
          <w:lang w:eastAsia="zh-CN"/>
        </w:rPr>
        <w:t>3.3</w:t>
      </w:r>
      <w:r>
        <w:rPr>
          <w:color w:val="000000"/>
        </w:rPr>
        <w:t xml:space="preserve"> of TS 33.117 [3].</w:t>
      </w:r>
    </w:p>
    <w:p>
      <w:pPr>
        <w:pStyle w:val="Heading3"/>
        <w:ind w:hanging="1134" w:left="1134"/>
        <w:rPr/>
      </w:pPr>
      <w:bookmarkStart w:id="64" w:name="__RefHeading___Toc153454938"/>
      <w:bookmarkEnd w:id="64"/>
      <w:r>
        <w:rPr/>
        <w:t>4.3.4</w:t>
        <w:tab/>
        <w:t>Web servers</w:t>
      </w:r>
    </w:p>
    <w:p>
      <w:pPr>
        <w:pStyle w:val="Normal"/>
        <w:rPr/>
      </w:pPr>
      <w:r>
        <w:rPr>
          <w:color w:val="000000"/>
        </w:rPr>
        <w:t xml:space="preserve">There are no UDM-specific additions to clause </w:t>
      </w:r>
      <w:r>
        <w:rPr>
          <w:color w:val="000000"/>
        </w:rPr>
        <w:t>4</w:t>
      </w:r>
      <w:r>
        <w:rPr>
          <w:color w:val="000000"/>
        </w:rPr>
        <w:t>.</w:t>
      </w:r>
      <w:r>
        <w:rPr>
          <w:color w:val="000000"/>
          <w:lang w:eastAsia="zh-CN"/>
        </w:rPr>
        <w:t>3.4</w:t>
      </w:r>
      <w:r>
        <w:rPr>
          <w:color w:val="000000"/>
        </w:rPr>
        <w:t xml:space="preserve"> of TS 33.117 [3].</w:t>
      </w:r>
    </w:p>
    <w:p>
      <w:pPr>
        <w:pStyle w:val="Heading3"/>
        <w:ind w:hanging="1134" w:left="1134"/>
        <w:rPr/>
      </w:pPr>
      <w:bookmarkStart w:id="65" w:name="__RefHeading___Toc153454939"/>
      <w:bookmarkEnd w:id="65"/>
      <w:r>
        <w:rPr/>
        <w:t>4.3.5</w:t>
        <w:tab/>
        <w:t>Network devices</w:t>
      </w:r>
    </w:p>
    <w:p>
      <w:pPr>
        <w:pStyle w:val="Normal"/>
        <w:rPr>
          <w:color w:val="000000"/>
        </w:rPr>
      </w:pPr>
      <w:r>
        <w:rPr>
          <w:color w:val="000000"/>
        </w:rPr>
        <w:t xml:space="preserve">There are no UDM-specific additions to clause </w:t>
      </w:r>
      <w:r>
        <w:rPr>
          <w:color w:val="000000"/>
        </w:rPr>
        <w:t>4</w:t>
      </w:r>
      <w:r>
        <w:rPr>
          <w:color w:val="000000"/>
        </w:rPr>
        <w:t>.</w:t>
      </w:r>
      <w:r>
        <w:rPr>
          <w:color w:val="000000"/>
          <w:lang w:eastAsia="zh-CN"/>
        </w:rPr>
        <w:t>3.5</w:t>
      </w:r>
      <w:r>
        <w:rPr>
          <w:color w:val="000000"/>
        </w:rPr>
        <w:t xml:space="preserve"> of TS 33.117 [3].</w:t>
      </w:r>
    </w:p>
    <w:p>
      <w:pPr>
        <w:pStyle w:val="Heading3"/>
        <w:ind w:hanging="1134" w:left="1134"/>
        <w:rPr/>
      </w:pPr>
      <w:bookmarkStart w:id="66" w:name="__RefHeading___Toc153454940"/>
      <w:bookmarkEnd w:id="66"/>
      <w:r>
        <w:rPr>
          <w:rFonts w:eastAsia="SimSun;宋体"/>
        </w:rPr>
        <w:t>4.3.6</w:t>
        <w:tab/>
        <w:t>Network functions in service-based architecture</w:t>
      </w:r>
    </w:p>
    <w:p>
      <w:pPr>
        <w:pStyle w:val="Normal"/>
        <w:rPr>
          <w:lang w:eastAsia="zh-CN"/>
        </w:rPr>
      </w:pPr>
      <w:r>
        <w:rPr>
          <w:lang w:eastAsia="zh-CN"/>
        </w:rPr>
        <w:t>There are no UDM-specific additions to clause 4.3.6 in TS 33.117 [3].</w:t>
      </w:r>
    </w:p>
    <w:p>
      <w:pPr>
        <w:pStyle w:val="Heading2"/>
        <w:keepNext w:val="false"/>
        <w:keepLines w:val="false"/>
        <w:suppressLineNumbers/>
        <w:suppressAutoHyphens w:val="true"/>
        <w:ind w:hanging="1134" w:left="1134"/>
        <w:rPr/>
      </w:pPr>
      <w:bookmarkStart w:id="67" w:name="__RefHeading___Toc153454941"/>
      <w:bookmarkEnd w:id="67"/>
      <w:r>
        <w:rPr/>
        <w:t>4.4</w:t>
        <w:tab/>
      </w:r>
      <w:r>
        <w:rPr>
          <w:lang w:eastAsia="zh-CN"/>
        </w:rPr>
        <w:t>UDM</w:t>
      </w:r>
      <w:r>
        <w:rPr/>
        <w:t>-specific adaptations of basic vulnerability testing requirements and related test cases</w:t>
      </w:r>
    </w:p>
    <w:p>
      <w:pPr>
        <w:pStyle w:val="Heading3"/>
        <w:ind w:hanging="1134" w:left="1134"/>
        <w:rPr>
          <w:rFonts w:eastAsia="MS Mincho;ＭＳ 明朝"/>
          <w:lang w:eastAsia="zh-CN"/>
        </w:rPr>
      </w:pPr>
      <w:bookmarkStart w:id="68" w:name="__RefHeading___Toc153454942"/>
      <w:bookmarkEnd w:id="68"/>
      <w:r>
        <w:rPr>
          <w:rFonts w:eastAsia="MS Mincho;ＭＳ 明朝"/>
        </w:rPr>
        <w:t>4.4.1</w:t>
        <w:tab/>
        <w:t>Introduction</w:t>
      </w:r>
    </w:p>
    <w:p>
      <w:pPr>
        <w:pStyle w:val="Normal"/>
        <w:spacing w:before="0" w:after="0"/>
        <w:rPr/>
      </w:pPr>
      <w:r>
        <w:rPr>
          <w:lang w:val="en-US" w:eastAsia="en-US"/>
        </w:rPr>
        <w:t>There are no UDM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69" w:name="__RefHeading___Toc153454943"/>
      <w:bookmarkEnd w:id="69"/>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UDM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70" w:name="__RefHeading___Toc153454944"/>
      <w:bookmarkEnd w:id="70"/>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UDM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71" w:name="__RefHeading___Toc153454945"/>
      <w:r>
        <w:rPr>
          <w:rFonts w:eastAsia="MS Mincho;ＭＳ 明朝"/>
        </w:rPr>
        <w:t>4.4.4</w:t>
        <w:tab/>
        <w:t>Robustness and fuzz testing</w:t>
      </w:r>
      <w:bookmarkEnd w:id="71"/>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UDM.</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UDM are in clause 4.2.3 of TS 23.501 [5].</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UDM, the following interface and protocols are in the scope of the testing:</w:t>
      </w:r>
    </w:p>
    <w:p>
      <w:pPr>
        <w:pStyle w:val="Normal"/>
        <w:spacing w:before="0" w:after="0"/>
        <w:rPr>
          <w:lang w:val="en-US" w:eastAsia="en-US"/>
        </w:rPr>
      </w:pPr>
      <w:r>
        <w:rPr>
          <w:lang w:val="en-US" w:eastAsia="en-US"/>
        </w:rPr>
      </w:r>
    </w:p>
    <w:p>
      <w:pPr>
        <w:pStyle w:val="B1"/>
        <w:rPr/>
      </w:pPr>
      <w:r>
        <w:rPr>
          <w:lang w:val="en-US" w:eastAsia="en-US"/>
        </w:rPr>
        <w:t>-</w:t>
        <w:tab/>
        <w:t>For Nudm</w:t>
      </w:r>
      <w:r>
        <w:rPr>
          <w:lang w:val="en-US" w:eastAsia="en-US"/>
        </w:rPr>
        <w:t xml:space="preserve">: The TCP, TLS, HTTP2 and JSON </w:t>
      </w:r>
      <w:r>
        <w:rPr>
          <w:lang w:val="en-US" w:eastAsia="en-US"/>
        </w:rPr>
        <w:t>protocols.</w:t>
      </w:r>
    </w:p>
    <w:p>
      <w:pPr>
        <w:pStyle w:val="Normal"/>
        <w:spacing w:before="0" w:after="0"/>
        <w:rPr>
          <w:lang w:val="en-US" w:eastAsia="en-US"/>
        </w:rPr>
      </w:pPr>
      <w:r>
        <w:rPr>
          <w:lang w:val="en-US" w:eastAsia="en-US"/>
        </w:rPr>
      </w:r>
    </w:p>
    <w:p>
      <w:pPr>
        <w:pStyle w:val="NO"/>
        <w:rPr>
          <w:lang w:val="en-US" w:eastAsia="en-US"/>
        </w:rPr>
      </w:pPr>
      <w:r>
        <w:rPr>
          <w:lang w:val="en-US" w:eastAsia="en-US"/>
        </w:rPr>
        <w:t>NOTE:</w:t>
        <w:tab/>
        <w:t>There could be other interfaces and/or protocols requiring testing under clause 4.4.4 of TS 33.117 [3].</w:t>
      </w:r>
    </w:p>
    <w:p>
      <w:pPr>
        <w:pStyle w:val="Normal"/>
        <w:rPr>
          <w:lang w:val="en-US" w:eastAsia="en-US"/>
        </w:rPr>
      </w:pPr>
      <w:r>
        <w:rPr>
          <w:lang w:val="en-US" w:eastAsia="en-US"/>
        </w:rPr>
      </w:r>
      <w:r>
        <w:br w:type="page"/>
      </w:r>
    </w:p>
    <w:p>
      <w:pPr>
        <w:pStyle w:val="Heading8"/>
        <w:rPr/>
      </w:pPr>
      <w:bookmarkStart w:id="72" w:name="__RefHeading___Toc153454946"/>
      <w:bookmarkEnd w:id="72"/>
      <w:r>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993"/>
        <w:gridCol w:w="708"/>
        <w:gridCol w:w="993"/>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EditHelp review</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16.0.1</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Corrections for clean-up and alignment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Update to the test case of Storing of UE authentication status by UDM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SA#89E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bookmarkStart w:id="73" w:name="OLE_LINK5"/>
            <w:r>
              <w:rPr>
                <w:sz w:val="16"/>
                <w:szCs w:val="16"/>
                <w:lang w:eastAsia="zh-CN"/>
              </w:rPr>
              <w:t>Clarification on the test cases if the UDM and AUSF are collocated</w:t>
            </w:r>
            <w:bookmarkEnd w:id="73"/>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Reference of general SBA/SBI aspect in 33.514</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CR to include R-16 feature of </w:t>
            </w:r>
            <w:r>
              <w:rPr>
                <w:sz w:val="16"/>
                <w:szCs w:val="16"/>
                <w:lang w:eastAsia="zh-CN"/>
              </w:rPr>
              <w:t>UDM</w:t>
            </w:r>
            <w:r>
              <w:rPr>
                <w:sz w:val="16"/>
                <w:szCs w:val="16"/>
                <w:lang w:eastAsia="zh-CN"/>
              </w:rPr>
              <w:t xml:space="preserve"> to 33.514</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Robustness interfaces and protocols defined for UDM</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UDM service naming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Added missing Test Name and Expected format of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Added UDM SCAS test cases for checking an invalid and uncompressed point in ECIES protection scheme for SUCI decryption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1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to terms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 to abbreviations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 to test names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Editorial correction of TEST CASE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Fuzz TLS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SA#106</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SP-241798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0032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Updating test case about authentication status of UE by UDM</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Clean up of 33.514</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5z0">
    <w:name w:val="WW8Num15z0"/>
    <w:qFormat/>
    <w:rPr>
      <w:rFonts w:ascii="Symbol" w:hAnsi="Symbol" w:cs="Symbol"/>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SimSun;宋体" w:cs="Times New Roman"/>
      <w:b/>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BalloonTextChar">
    <w:name w:val="Balloon Text Char"/>
    <w:qFormat/>
    <w:rPr>
      <w:rFonts w:ascii="Tahoma" w:hAnsi="Tahoma" w:cs="Tahoma"/>
      <w:sz w:val="16"/>
      <w:szCs w:val="16"/>
    </w:rPr>
  </w:style>
  <w:style w:type="character" w:styleId="EditorsNoteChar">
    <w:name w:val="Editor's Note Char"/>
    <w:qFormat/>
    <w:rPr>
      <w:color w:val="FF0000"/>
    </w:rPr>
  </w:style>
  <w:style w:type="character" w:styleId="Heading3Char">
    <w:name w:val="Heading 3 Char"/>
    <w:qFormat/>
    <w:rPr>
      <w:rFonts w:ascii="Arial" w:hAnsi="Arial" w:cs="Arial"/>
      <w:sz w:val="28"/>
    </w:rPr>
  </w:style>
  <w:style w:type="character" w:styleId="B1Char">
    <w:name w:val="B1 Char"/>
    <w:qFormat/>
    <w:rPr/>
  </w:style>
  <w:style w:type="character" w:styleId="EXChar">
    <w:name w:val="EX Char"/>
    <w:qFormat/>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CommentTextChar">
    <w:name w:val="Comment Text Char"/>
    <w:qFormat/>
    <w:rPr/>
  </w:style>
  <w:style w:type="character" w:styleId="CommentSubjectChar">
    <w:name w:val="Comment Subject Char"/>
    <w:qFormat/>
    <w:rPr>
      <w:b/>
      <w:bCs/>
    </w:rPr>
  </w:style>
  <w:style w:type="character" w:styleId="B1Car">
    <w:name w:val="B1+ Car"/>
    <w:qFormat/>
    <w:rPr/>
  </w:style>
  <w:style w:type="character" w:styleId="Heading2Char">
    <w:name w:val="Heading 2 Char"/>
    <w:qFormat/>
    <w:rPr>
      <w:rFonts w:ascii="Arial" w:hAnsi="Arial" w:cs="Arial"/>
      <w:sz w:val="32"/>
    </w:rPr>
  </w:style>
  <w:style w:type="character" w:styleId="NOChar">
    <w:name w:val="NO Char"/>
    <w:qFormat/>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cs="Calibri Light"/>
      <w:sz w:val="24"/>
      <w:szCs w:val="24"/>
    </w:rPr>
  </w:style>
  <w:style w:type="character" w:styleId="TitleChar">
    <w:name w:val="Title Char"/>
    <w:qFormat/>
    <w:rPr>
      <w:rFonts w:ascii="Calibri Light" w:hAnsi="Calibri Light" w:cs="Calibri Light"/>
      <w:b/>
      <w:bCs/>
      <w:kern w:val="2"/>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rFonts w:ascii="Tahoma" w:hAnsi="Tahoma" w:cs="Tahoma"/>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B1"/>
    <w:qFormat/>
    <w:pPr>
      <w:numPr>
        <w:ilvl w:val="0"/>
        <w:numId w:val="5"/>
      </w:numPr>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2025-07-03T15:03:00Z</dcterms:created>
  <dc:creator>MCC Support</dc:creator>
  <dc:description/>
  <cp:keywords>&lt;keyword[ keyword ]&gt;</cp:keywords>
  <dc:language>en-US</dc:language>
  <cp:lastModifiedBy>33.545_CR0017R1_(Rel-19)_5G_Femto_Sec</cp:lastModifiedBy>
  <cp:lastPrinted>2019-10-16T08:57:00Z</cp:lastPrinted>
  <dcterms:modified xsi:type="dcterms:W3CDTF">2025-07-03T15:03:00Z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21%33.514%Rel-19%0024%33.514%Rel-19%0027%33.514%Rel-19%0030%33.514%Rel-19%0002%</vt:lpwstr>
  </property>
  <property fmtid="{D5CDD505-2E9C-101B-9397-08002B2CF9AE}" pid="3" name="MCCCRsImpl1">
    <vt:lpwstr>21%33.514%Rel-19%0034%</vt:lpwstr>
  </property>
  <property fmtid="{D5CDD505-2E9C-101B-9397-08002B2CF9AE}" pid="4" name="NSCPROP_SA">
    <vt:lpwstr>C:\Users\rajvel\Desktop\SA3#92\Contributions\SCAS\Reference\S3-18hhh_Skeleton TS 33.514_draft_v2.doc</vt:lpwstr>
  </property>
</Properties>
</file>