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US"/>
                              </w:rPr>
                            </w:pPr>
                            <w:bookmarkStart w:id="0" w:name="page1"/>
                            <w:bookmarkEnd w:id="0"/>
                            <w:r>
                              <w:rPr>
                                <w:rFonts w:eastAsia="Arial"/>
                                <w:sz w:val="64"/>
                                <w:lang w:val="en-GB" w:eastAsia="en-US"/>
                              </w:rPr>
                              <w:t xml:space="preserve"> </w:t>
                            </w:r>
                            <w:r>
                              <w:rPr>
                                <w:sz w:val="64"/>
                                <w:lang w:val="en-GB" w:eastAsia="en-US"/>
                              </w:rPr>
                              <w:t xml:space="preserve">3GPP TS 33.514 </w:t>
                            </w:r>
                            <w:r>
                              <w:rPr>
                                <w:lang w:val="en-GB" w:eastAsia="en-US"/>
                              </w:rPr>
                              <w:t xml:space="preserve">V19.1.0 </w:t>
                            </w:r>
                            <w:r>
                              <w:rPr>
                                <w:sz w:val="32"/>
                                <w:lang w:val="en-GB" w:eastAsia="en-US"/>
                              </w:rPr>
                              <w:t>(2025-07)</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lang w:val="en-GB" w:eastAsia="en-US"/>
                        </w:rPr>
                      </w:pPr>
                      <w:bookmarkStart w:id="1" w:name="page1"/>
                      <w:bookmarkEnd w:id="1"/>
                      <w:r>
                        <w:rPr>
                          <w:rFonts w:eastAsia="Arial"/>
                          <w:sz w:val="64"/>
                          <w:lang w:val="en-GB" w:eastAsia="en-US"/>
                        </w:rPr>
                        <w:t xml:space="preserve"> </w:t>
                      </w:r>
                      <w:r>
                        <w:rPr>
                          <w:sz w:val="64"/>
                          <w:lang w:val="en-GB" w:eastAsia="en-US"/>
                        </w:rPr>
                        <w:t xml:space="preserve">3GPP TS 33.514 </w:t>
                      </w:r>
                      <w:r>
                        <w:rPr>
                          <w:lang w:val="en-GB" w:eastAsia="en-US"/>
                        </w:rPr>
                        <w:t xml:space="preserve">V19.1.0 </w:t>
                      </w:r>
                      <w:r>
                        <w:rPr>
                          <w:sz w:val="32"/>
                          <w:lang w:val="en-GB" w:eastAsia="en-US"/>
                        </w:rPr>
                        <w:t>(2025-07)</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5G Security Assurance Specification (SCAS) for the Unified Data Management (UDM) network product class</w:t>
                            </w:r>
                          </w:p>
                          <w:p>
                            <w:pPr>
                              <w:pStyle w:val="ZT"/>
                              <w:rPr>
                                <w:i/>
                                <w:i/>
                                <w:sz w:val="28"/>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5G Security Assurance Specification (SCAS) for the Unified Data Management (UDM) network product class</w:t>
                      </w:r>
                    </w:p>
                    <w:p>
                      <w:pPr>
                        <w:pStyle w:val="ZT"/>
                        <w:rPr>
                          <w:i/>
                          <w:i/>
                          <w:sz w:val="28"/>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color w:val="0000FF"/>
                                <w:lang w:val="en-GB" w:eastAsia="en-US"/>
                              </w:rPr>
                            </w:pPr>
                            <w:bookmarkStart w:id="2" w:name="_1684549432"/>
                            <w:bookmarkStart w:id="3" w:name="_MON_1684549432"/>
                            <w:bookmarkEnd w:id="2"/>
                            <w:bookmarkEnd w:id="3"/>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2123320132"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color w:val="0000FF"/>
                                <w:lang w:val="en-GB" w:eastAsia="en-US"/>
                              </w:rPr>
                              <w:tab/>
                            </w:r>
                          </w:p>
                          <w:p>
                            <w:pPr>
                              <w:pStyle w:val="ZU"/>
                              <w:tabs>
                                <w:tab w:val="clear" w:pos="284"/>
                                <w:tab w:val="right" w:pos="10206" w:leader="none"/>
                              </w:tabs>
                              <w:jc w:val="left"/>
                              <w:rPr>
                                <w:lang w:val="en-GB" w:eastAsia="en-US"/>
                              </w:rPr>
                            </w:pPr>
                            <w:r>
                              <w:rPr>
                                <w:color w:val="0000FF"/>
                                <w:lang w:val="en-GB" w:eastAsia="en-US"/>
                              </w:rPr>
                              <w:tab/>
                            </w:r>
                          </w:p>
                          <w:p>
                            <w:pPr>
                              <w:pStyle w:val="ZU"/>
                              <w:tabs>
                                <w:tab w:val="clear" w:pos="284"/>
                                <w:tab w:val="right" w:pos="10206" w:leader="none"/>
                              </w:tabs>
                              <w:jc w:val="left"/>
                              <w:rPr>
                                <w:lang w:val="en-GB" w:eastAsia="en-US"/>
                              </w:rPr>
                            </w:pPr>
                            <w:r>
                              <w:rPr>
                                <w:lang w:val="en-GB" w:eastAsia="en-US"/>
                              </w:rPr>
                            </w:r>
                          </w:p>
                          <w:p>
                            <w:pPr>
                              <w:pStyle w:val="ZU"/>
                              <w:tabs>
                                <w:tab w:val="clear" w:pos="284"/>
                                <w:tab w:val="right" w:pos="10206" w:leader="none"/>
                              </w:tabs>
                              <w:jc w:val="left"/>
                              <w:rPr>
                                <w:lang w:val="en-GB" w:eastAsia="en-US"/>
                              </w:rPr>
                            </w:pPr>
                            <w:r>
                              <w:rPr>
                                <w:rFonts w:eastAsia="Arial"/>
                                <w:i/>
                                <w:lang w:val="en-GB" w:eastAsia="en-US"/>
                              </w:rPr>
                              <w:t xml:space="preserve">  </w:t>
                            </w:r>
                            <w:r>
                              <w:rPr>
                                <w:color w:val="0000FF"/>
                                <w:lang w:val="en-GB" w:eastAsia="en-US"/>
                              </w:rPr>
                              <w:tab/>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color w:val="0000FF"/>
                          <w:lang w:val="en-GB" w:eastAsia="en-US"/>
                        </w:rPr>
                      </w:pPr>
                      <w:bookmarkStart w:id="4" w:name="_1684549432"/>
                      <w:bookmarkStart w:id="5" w:name="_MON_1684549432"/>
                      <w:bookmarkEnd w:id="4"/>
                      <w:bookmarkEnd w:id="5"/>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2367815"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color w:val="0000FF"/>
                          <w:lang w:val="en-GB" w:eastAsia="en-US"/>
                        </w:rPr>
                        <w:tab/>
                      </w:r>
                    </w:p>
                    <w:p>
                      <w:pPr>
                        <w:pStyle w:val="ZU"/>
                        <w:tabs>
                          <w:tab w:val="clear" w:pos="284"/>
                          <w:tab w:val="right" w:pos="10206" w:leader="none"/>
                        </w:tabs>
                        <w:jc w:val="left"/>
                        <w:rPr>
                          <w:lang w:val="en-GB" w:eastAsia="en-US"/>
                        </w:rPr>
                      </w:pPr>
                      <w:r>
                        <w:rPr>
                          <w:color w:val="0000FF"/>
                          <w:lang w:val="en-GB" w:eastAsia="en-US"/>
                        </w:rPr>
                        <w:tab/>
                      </w:r>
                    </w:p>
                    <w:p>
                      <w:pPr>
                        <w:pStyle w:val="ZU"/>
                        <w:tabs>
                          <w:tab w:val="clear" w:pos="284"/>
                          <w:tab w:val="right" w:pos="10206" w:leader="none"/>
                        </w:tabs>
                        <w:jc w:val="left"/>
                        <w:rPr>
                          <w:lang w:val="en-GB" w:eastAsia="en-US"/>
                        </w:rPr>
                      </w:pPr>
                      <w:r>
                        <w:rPr>
                          <w:lang w:val="en-GB" w:eastAsia="en-US"/>
                        </w:rPr>
                      </w:r>
                    </w:p>
                    <w:p>
                      <w:pPr>
                        <w:pStyle w:val="ZU"/>
                        <w:tabs>
                          <w:tab w:val="clear" w:pos="284"/>
                          <w:tab w:val="right" w:pos="10206" w:leader="none"/>
                        </w:tabs>
                        <w:jc w:val="left"/>
                        <w:rPr>
                          <w:lang w:val="en-GB" w:eastAsia="en-US"/>
                        </w:rPr>
                      </w:pPr>
                      <w:r>
                        <w:rPr>
                          <w:rFonts w:eastAsia="Arial"/>
                          <w:i/>
                          <w:lang w:val="en-GB" w:eastAsia="en-US"/>
                        </w:rPr>
                        <w:t xml:space="preserve">  </w:t>
                      </w:r>
                      <w:r>
                        <w:rPr>
                          <w:color w:val="0000FF"/>
                          <w:lang w:val="en-GB" w:eastAsia="en-US"/>
                        </w:rPr>
                        <w:tab/>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r>
        <w:rPr/>
      </w:r>
      <w:bookmarkStart w:id="6" w:name="page2"/>
      <w:bookmarkStart w:id="7" w:name="page2"/>
      <w:bookmarkEnd w:id="7"/>
    </w:p>
    <w:p>
      <w:pPr>
        <w:pStyle w:val="Normal"/>
        <w:rPr/>
      </w:pPr>
      <w:r>
        <w:rPr/>
      </w:r>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 UDM, product class, security, 5G</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 UDM, product class, security, 5G</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0"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rPr>
                            </w:pPr>
                            <w:r>
                              <w:rPr>
                                <w:rFonts w:cs="Arial" w:ascii="Arial" w:hAnsi="Arial"/>
                                <w:sz w:val="18"/>
                              </w:rPr>
                              <w:t>650 Route des Lucioles - Sophia Antipolis</w:t>
                            </w:r>
                          </w:p>
                          <w:p>
                            <w:pPr>
                              <w:pStyle w:val="FP"/>
                              <w:ind w:left="2835" w:right="2835"/>
                              <w:jc w:val="center"/>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rPr>
                      </w:pPr>
                      <w:r>
                        <w:rPr>
                          <w:rFonts w:cs="Arial" w:ascii="Arial" w:hAnsi="Arial"/>
                          <w:sz w:val="18"/>
                        </w:rPr>
                        <w:t>650 Route des Lucioles - Sophia Antipolis</w:t>
                      </w:r>
                    </w:p>
                    <w:p>
                      <w:pPr>
                        <w:pStyle w:val="FP"/>
                        <w:ind w:left="2835" w:right="2835"/>
                        <w:jc w:val="center"/>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8" w:name="page2"/>
      <w:bookmarkStart w:id="9" w:name="page2"/>
      <w:bookmarkEnd w:id="9"/>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0" w:name="copyrightaddon"/>
                            <w:bookmarkEnd w:id="10"/>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1" w:name="copyrightaddon"/>
                      <w:bookmarkEnd w:id="11"/>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cs="Calibri"/>
              <w:szCs w:val="22"/>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153454897">
            <w:r>
              <w:rPr>
                <w:rStyle w:val="IndexLink"/>
                <w:lang w:val="en-US" w:eastAsia="en-US"/>
              </w:rPr>
              <w:t>4</w:t>
            </w:r>
          </w:hyperlink>
        </w:p>
        <w:p>
          <w:pPr>
            <w:pStyle w:val="TOC1"/>
            <w:rPr>
              <w:rFonts w:ascii="Calibri" w:hAnsi="Calibri" w:cs="Calibri"/>
              <w:szCs w:val="22"/>
              <w:lang w:val="en-US" w:eastAsia="en-US"/>
            </w:rPr>
          </w:pPr>
          <w:r>
            <w:rPr>
              <w:lang w:val="en-US" w:eastAsia="en-US"/>
            </w:rPr>
            <w:t>1</w:t>
          </w:r>
          <w:r>
            <w:rPr>
              <w:rFonts w:cs="Calibri" w:ascii="Calibri" w:hAnsi="Calibri"/>
              <w:szCs w:val="22"/>
              <w:lang w:val="en-US" w:eastAsia="en-US"/>
            </w:rPr>
            <w:tab/>
          </w:r>
          <w:r>
            <w:rPr>
              <w:lang w:val="en-US" w:eastAsia="en-US"/>
            </w:rPr>
            <w:t>Scope</w:t>
            <w:tab/>
          </w:r>
          <w:hyperlink w:anchor="__RefHeading___Toc153454898">
            <w:r>
              <w:rPr>
                <w:rStyle w:val="IndexLink"/>
                <w:lang w:val="en-US" w:eastAsia="en-US"/>
              </w:rPr>
              <w:t>6</w:t>
            </w:r>
          </w:hyperlink>
        </w:p>
        <w:p>
          <w:pPr>
            <w:pStyle w:val="TOC1"/>
            <w:rPr>
              <w:rFonts w:ascii="Calibri" w:hAnsi="Calibri" w:cs="Calibri"/>
              <w:szCs w:val="22"/>
              <w:lang w:val="en-US" w:eastAsia="en-US"/>
            </w:rPr>
          </w:pPr>
          <w:r>
            <w:rPr>
              <w:lang w:val="en-US" w:eastAsia="en-US"/>
            </w:rPr>
            <w:t>2</w:t>
          </w:r>
          <w:r>
            <w:rPr>
              <w:rFonts w:cs="Calibri" w:ascii="Calibri" w:hAnsi="Calibri"/>
              <w:szCs w:val="22"/>
              <w:lang w:val="en-US" w:eastAsia="en-US"/>
            </w:rPr>
            <w:tab/>
          </w:r>
          <w:r>
            <w:rPr>
              <w:lang w:val="en-US" w:eastAsia="en-US"/>
            </w:rPr>
            <w:t>References</w:t>
            <w:tab/>
          </w:r>
          <w:hyperlink w:anchor="__RefHeading___Toc153454899">
            <w:r>
              <w:rPr>
                <w:rStyle w:val="IndexLink"/>
                <w:lang w:val="en-US" w:eastAsia="en-US"/>
              </w:rPr>
              <w:t>6</w:t>
            </w:r>
          </w:hyperlink>
        </w:p>
        <w:p>
          <w:pPr>
            <w:pStyle w:val="TOC1"/>
            <w:rPr>
              <w:rFonts w:ascii="Calibri" w:hAnsi="Calibri" w:cs="Calibri"/>
              <w:szCs w:val="22"/>
              <w:lang w:val="en-US" w:eastAsia="en-US"/>
            </w:rPr>
          </w:pPr>
          <w:r>
            <w:rPr>
              <w:lang w:val="en-US" w:eastAsia="en-US"/>
            </w:rPr>
            <w:t>3</w:t>
          </w:r>
          <w:r>
            <w:rPr>
              <w:rFonts w:cs="Calibri" w:ascii="Calibri" w:hAnsi="Calibri"/>
              <w:szCs w:val="22"/>
              <w:lang w:val="en-US" w:eastAsia="en-US"/>
            </w:rPr>
            <w:tab/>
          </w:r>
          <w:r>
            <w:rPr>
              <w:lang w:val="en-US" w:eastAsia="en-US"/>
            </w:rPr>
            <w:t>Definitions of terms, symbols and abbreviations</w:t>
            <w:tab/>
          </w:r>
          <w:hyperlink w:anchor="__RefHeading___Toc153454900">
            <w:r>
              <w:rPr>
                <w:rStyle w:val="IndexLink"/>
                <w:lang w:val="en-US" w:eastAsia="en-US"/>
              </w:rPr>
              <w:t>6</w:t>
            </w:r>
          </w:hyperlink>
        </w:p>
        <w:p>
          <w:pPr>
            <w:pStyle w:val="TOC2"/>
            <w:rPr>
              <w:rFonts w:ascii="Calibri" w:hAnsi="Calibri" w:cs="Calibri"/>
              <w:sz w:val="22"/>
              <w:szCs w:val="22"/>
              <w:lang w:val="en-US" w:eastAsia="en-US"/>
            </w:rPr>
          </w:pPr>
          <w:r>
            <w:rPr>
              <w:lang w:val="en-US" w:eastAsia="en-US"/>
            </w:rPr>
            <w:t>3.1</w:t>
          </w:r>
          <w:r>
            <w:rPr>
              <w:rFonts w:cs="Calibri" w:ascii="Calibri" w:hAnsi="Calibri"/>
              <w:sz w:val="22"/>
              <w:szCs w:val="22"/>
              <w:lang w:val="en-US" w:eastAsia="en-US"/>
            </w:rPr>
            <w:tab/>
          </w:r>
          <w:r>
            <w:rPr>
              <w:lang w:val="en-US" w:eastAsia="en-US"/>
            </w:rPr>
            <w:t>Terms</w:t>
            <w:tab/>
          </w:r>
          <w:hyperlink w:anchor="__RefHeading___Toc153454901">
            <w:r>
              <w:rPr>
                <w:rStyle w:val="IndexLink"/>
                <w:lang w:val="en-US" w:eastAsia="en-US"/>
              </w:rPr>
              <w:t>6</w:t>
            </w:r>
          </w:hyperlink>
        </w:p>
        <w:p>
          <w:pPr>
            <w:pStyle w:val="TOC2"/>
            <w:rPr>
              <w:rFonts w:ascii="Calibri" w:hAnsi="Calibri" w:cs="Calibri"/>
              <w:sz w:val="22"/>
              <w:szCs w:val="22"/>
              <w:lang w:val="en-US" w:eastAsia="en-US"/>
            </w:rPr>
          </w:pPr>
          <w:r>
            <w:rPr>
              <w:lang w:val="en-US" w:eastAsia="en-US"/>
            </w:rPr>
            <w:t>3.2</w:t>
          </w:r>
          <w:r>
            <w:rPr>
              <w:rFonts w:cs="Calibri" w:ascii="Calibri" w:hAnsi="Calibri"/>
              <w:sz w:val="22"/>
              <w:szCs w:val="22"/>
              <w:lang w:val="en-US" w:eastAsia="en-US"/>
            </w:rPr>
            <w:tab/>
          </w:r>
          <w:r>
            <w:rPr>
              <w:lang w:val="en-US" w:eastAsia="en-US"/>
            </w:rPr>
            <w:t>Symbols</w:t>
            <w:tab/>
          </w:r>
          <w:hyperlink w:anchor="__RefHeading___Toc153454902">
            <w:r>
              <w:rPr>
                <w:rStyle w:val="IndexLink"/>
                <w:lang w:val="en-US" w:eastAsia="en-US"/>
              </w:rPr>
              <w:t>6</w:t>
            </w:r>
          </w:hyperlink>
        </w:p>
        <w:p>
          <w:pPr>
            <w:pStyle w:val="TOC2"/>
            <w:rPr>
              <w:rFonts w:ascii="Calibri" w:hAnsi="Calibri" w:cs="Calibri"/>
              <w:sz w:val="22"/>
              <w:szCs w:val="22"/>
              <w:lang w:val="en-US" w:eastAsia="en-US"/>
            </w:rPr>
          </w:pPr>
          <w:r>
            <w:rPr>
              <w:lang w:val="en-US" w:eastAsia="en-US"/>
            </w:rPr>
            <w:t>3.3</w:t>
          </w:r>
          <w:r>
            <w:rPr>
              <w:rFonts w:cs="Calibri" w:ascii="Calibri" w:hAnsi="Calibri"/>
              <w:sz w:val="22"/>
              <w:szCs w:val="22"/>
              <w:lang w:val="en-US" w:eastAsia="en-US"/>
            </w:rPr>
            <w:tab/>
          </w:r>
          <w:r>
            <w:rPr>
              <w:lang w:val="en-US" w:eastAsia="en-US"/>
            </w:rPr>
            <w:t>Abbreviations</w:t>
            <w:tab/>
          </w:r>
          <w:hyperlink w:anchor="__RefHeading___Toc153454903">
            <w:r>
              <w:rPr>
                <w:rStyle w:val="IndexLink"/>
                <w:lang w:val="en-US" w:eastAsia="en-US"/>
              </w:rPr>
              <w:t>7</w:t>
            </w:r>
          </w:hyperlink>
        </w:p>
        <w:p>
          <w:pPr>
            <w:pStyle w:val="TOC1"/>
            <w:rPr>
              <w:rFonts w:ascii="Calibri" w:hAnsi="Calibri" w:cs="Calibri"/>
              <w:szCs w:val="22"/>
              <w:lang w:val="en-US" w:eastAsia="en-US"/>
            </w:rPr>
          </w:pPr>
          <w:r>
            <w:rPr>
              <w:lang w:val="en-US" w:eastAsia="en-US"/>
            </w:rPr>
            <w:t>4</w:t>
          </w:r>
          <w:r>
            <w:rPr>
              <w:rFonts w:cs="Calibri" w:ascii="Calibri" w:hAnsi="Calibri"/>
              <w:szCs w:val="22"/>
              <w:lang w:val="en-US" w:eastAsia="en-US"/>
            </w:rPr>
            <w:tab/>
          </w:r>
          <w:r>
            <w:rPr>
              <w:lang w:val="en-US" w:eastAsia="en-US"/>
            </w:rPr>
            <w:t>UDM-specific security requirements and related test cases</w:t>
            <w:tab/>
          </w:r>
          <w:hyperlink w:anchor="__RefHeading___Toc153454904">
            <w:r>
              <w:rPr>
                <w:rStyle w:val="IndexLink"/>
                <w:lang w:val="en-US" w:eastAsia="en-US"/>
              </w:rPr>
              <w:t>7</w:t>
            </w:r>
          </w:hyperlink>
        </w:p>
        <w:p>
          <w:pPr>
            <w:pStyle w:val="TOC2"/>
            <w:rPr>
              <w:rFonts w:ascii="Calibri" w:hAnsi="Calibri" w:cs="Calibri"/>
              <w:sz w:val="22"/>
              <w:szCs w:val="22"/>
              <w:lang w:val="en-US" w:eastAsia="en-US"/>
            </w:rPr>
          </w:pPr>
          <w:r>
            <w:rPr>
              <w:lang w:val="en-US" w:eastAsia="en-US"/>
            </w:rPr>
            <w:t>4.1</w:t>
          </w:r>
          <w:r>
            <w:rPr>
              <w:rFonts w:cs="Calibri" w:ascii="Calibri" w:hAnsi="Calibri"/>
              <w:sz w:val="22"/>
              <w:szCs w:val="22"/>
              <w:lang w:val="en-US" w:eastAsia="en-US"/>
            </w:rPr>
            <w:tab/>
          </w:r>
          <w:r>
            <w:rPr>
              <w:lang w:val="en-US" w:eastAsia="en-US"/>
            </w:rPr>
            <w:t>Introduction</w:t>
            <w:tab/>
          </w:r>
          <w:hyperlink w:anchor="__RefHeading___Toc153454905">
            <w:r>
              <w:rPr>
                <w:rStyle w:val="IndexLink"/>
                <w:lang w:val="en-US" w:eastAsia="en-US"/>
              </w:rPr>
              <w:t>7</w:t>
            </w:r>
          </w:hyperlink>
        </w:p>
        <w:p>
          <w:pPr>
            <w:pStyle w:val="TOC2"/>
            <w:rPr>
              <w:rFonts w:ascii="Calibri" w:hAnsi="Calibri" w:cs="Calibri"/>
              <w:sz w:val="22"/>
              <w:szCs w:val="22"/>
              <w:lang w:val="en-US" w:eastAsia="en-US"/>
            </w:rPr>
          </w:pPr>
          <w:r>
            <w:rPr>
              <w:lang w:val="en-US" w:eastAsia="en-US"/>
            </w:rPr>
            <w:t>4.2</w:t>
          </w:r>
          <w:r>
            <w:rPr>
              <w:rFonts w:cs="Calibri" w:ascii="Calibri" w:hAnsi="Calibri"/>
              <w:sz w:val="22"/>
              <w:szCs w:val="22"/>
              <w:lang w:val="en-US" w:eastAsia="en-US"/>
            </w:rPr>
            <w:tab/>
          </w:r>
          <w:r>
            <w:rPr>
              <w:lang w:val="en-US" w:eastAsia="en-US"/>
            </w:rPr>
            <w:t>Security functional requirements on the UDM derived from 3GPP specifications and related test cases</w:t>
            <w:tab/>
          </w:r>
          <w:hyperlink w:anchor="__RefHeading___Toc153454906">
            <w:r>
              <w:rPr>
                <w:rStyle w:val="IndexLink"/>
                <w:lang w:val="en-US" w:eastAsia="en-US"/>
              </w:rPr>
              <w:t>7</w:t>
            </w:r>
          </w:hyperlink>
        </w:p>
        <w:p>
          <w:pPr>
            <w:pStyle w:val="TOC3"/>
            <w:rPr>
              <w:rFonts w:ascii="Calibri" w:hAnsi="Calibri" w:cs="Calibri"/>
              <w:sz w:val="22"/>
              <w:szCs w:val="22"/>
              <w:lang w:val="en-US" w:eastAsia="en-US"/>
            </w:rPr>
          </w:pPr>
          <w:r>
            <w:rPr>
              <w:rFonts w:eastAsia="SimSun;宋体"/>
              <w:lang w:val="en-US" w:eastAsia="en-US"/>
            </w:rPr>
            <w:t>4.2.0</w:t>
          </w:r>
          <w:r>
            <w:rPr>
              <w:rFonts w:cs="Calibri" w:ascii="Calibri" w:hAnsi="Calibri"/>
              <w:sz w:val="22"/>
              <w:szCs w:val="22"/>
              <w:lang w:val="en-US" w:eastAsia="en-US"/>
            </w:rPr>
            <w:tab/>
          </w:r>
          <w:r>
            <w:rPr>
              <w:rFonts w:eastAsia="SimSun;宋体"/>
              <w:lang w:val="en-US" w:eastAsia="en-US"/>
            </w:rPr>
            <w:t>General</w:t>
          </w:r>
          <w:r>
            <w:rPr>
              <w:lang w:val="en-US" w:eastAsia="en-US"/>
            </w:rPr>
            <w:tab/>
          </w:r>
          <w:hyperlink w:anchor="__RefHeading___Toc153454907">
            <w:r>
              <w:rPr>
                <w:rStyle w:val="IndexLink"/>
                <w:lang w:val="en-US" w:eastAsia="en-US"/>
              </w:rPr>
              <w:t>7</w:t>
            </w:r>
          </w:hyperlink>
        </w:p>
        <w:p>
          <w:pPr>
            <w:pStyle w:val="TOC3"/>
            <w:rPr>
              <w:rFonts w:ascii="Calibri" w:hAnsi="Calibri" w:cs="Calibri"/>
              <w:sz w:val="22"/>
              <w:szCs w:val="22"/>
              <w:lang w:val="en-US" w:eastAsia="en-US"/>
            </w:rPr>
          </w:pPr>
          <w:r>
            <w:rPr>
              <w:lang w:val="en-US" w:eastAsia="en-US"/>
            </w:rPr>
            <w:t>4.2.1</w:t>
          </w:r>
          <w:r>
            <w:rPr>
              <w:rFonts w:cs="Calibri" w:ascii="Calibri" w:hAnsi="Calibri"/>
              <w:sz w:val="22"/>
              <w:szCs w:val="22"/>
              <w:lang w:val="en-US" w:eastAsia="en-US"/>
            </w:rPr>
            <w:tab/>
          </w:r>
          <w:r>
            <w:rPr>
              <w:lang w:val="en-US" w:eastAsia="en-US"/>
            </w:rPr>
            <w:t>User Privacy Procedure</w:t>
            <w:tab/>
          </w:r>
          <w:hyperlink w:anchor="__RefHeading___Toc153454908">
            <w:r>
              <w:rPr>
                <w:rStyle w:val="IndexLink"/>
                <w:lang w:val="en-US" w:eastAsia="en-US"/>
              </w:rPr>
              <w:t>7</w:t>
            </w:r>
          </w:hyperlink>
        </w:p>
        <w:p>
          <w:pPr>
            <w:pStyle w:val="TOC4"/>
            <w:rPr>
              <w:rFonts w:ascii="Calibri" w:hAnsi="Calibri" w:cs="Calibri"/>
              <w:sz w:val="22"/>
              <w:szCs w:val="22"/>
              <w:lang w:val="en-US" w:eastAsia="en-US"/>
            </w:rPr>
          </w:pPr>
          <w:r>
            <w:rPr>
              <w:lang w:val="en-US" w:eastAsia="en-US"/>
            </w:rPr>
            <w:t>4.2.1.1</w:t>
          </w:r>
          <w:r>
            <w:rPr>
              <w:rFonts w:cs="Calibri" w:ascii="Calibri" w:hAnsi="Calibri"/>
              <w:sz w:val="22"/>
              <w:szCs w:val="22"/>
              <w:lang w:val="en-US" w:eastAsia="en-US"/>
            </w:rPr>
            <w:tab/>
          </w:r>
          <w:r>
            <w:rPr>
              <w:lang w:val="en-US" w:eastAsia="en-US"/>
            </w:rPr>
            <w:t>De-concealment of SUPI from the SUCI based on the protection scheme used to generate the SUCI</w:t>
            <w:tab/>
          </w:r>
          <w:hyperlink w:anchor="__RefHeading___Toc153454909">
            <w:r>
              <w:rPr>
                <w:rStyle w:val="IndexLink"/>
                <w:lang w:val="en-US" w:eastAsia="en-US"/>
              </w:rPr>
              <w:t>7</w:t>
            </w:r>
          </w:hyperlink>
        </w:p>
        <w:p>
          <w:pPr>
            <w:pStyle w:val="TOC4"/>
            <w:rPr>
              <w:rFonts w:ascii="Calibri" w:hAnsi="Calibri" w:cs="Calibri"/>
              <w:sz w:val="22"/>
              <w:szCs w:val="22"/>
              <w:lang w:val="en-US" w:eastAsia="en-US"/>
            </w:rPr>
          </w:pPr>
          <w:r>
            <w:rPr>
              <w:lang w:val="en-US" w:eastAsia="en-US"/>
            </w:rPr>
            <w:t>4.2.1.2</w:t>
          </w:r>
          <w:r>
            <w:rPr>
              <w:rFonts w:cs="Calibri" w:ascii="Calibri" w:hAnsi="Calibri"/>
              <w:sz w:val="22"/>
              <w:szCs w:val="22"/>
              <w:lang w:val="en-US" w:eastAsia="en-US"/>
            </w:rPr>
            <w:tab/>
          </w:r>
          <w:r>
            <w:rPr>
              <w:lang w:val="en-US" w:eastAsia="en-US"/>
            </w:rPr>
            <w:t>Rejection of SUCIs using an ECIES protection scheme with an invalid public key.</w:t>
            <w:tab/>
          </w:r>
          <w:hyperlink w:anchor="__RefHeading___Toc153454910">
            <w:r>
              <w:rPr>
                <w:rStyle w:val="IndexLink"/>
                <w:lang w:val="en-US" w:eastAsia="en-US"/>
              </w:rPr>
              <w:t>8</w:t>
            </w:r>
          </w:hyperlink>
        </w:p>
        <w:p>
          <w:pPr>
            <w:pStyle w:val="TOC4"/>
            <w:rPr>
              <w:rFonts w:ascii="Calibri" w:hAnsi="Calibri" w:cs="Calibri"/>
              <w:sz w:val="22"/>
              <w:szCs w:val="22"/>
              <w:lang w:val="en-US" w:eastAsia="en-US"/>
            </w:rPr>
          </w:pPr>
          <w:r>
            <w:rPr>
              <w:lang w:val="en-US" w:eastAsia="en-US"/>
            </w:rPr>
            <w:t>4.2.1.3</w:t>
          </w:r>
          <w:r>
            <w:rPr>
              <w:rFonts w:cs="Calibri" w:ascii="Calibri" w:hAnsi="Calibri"/>
              <w:sz w:val="22"/>
              <w:szCs w:val="22"/>
              <w:lang w:val="en-US" w:eastAsia="en-US"/>
            </w:rPr>
            <w:tab/>
          </w:r>
          <w:r>
            <w:rPr>
              <w:lang w:val="en-US" w:eastAsia="en-US"/>
            </w:rPr>
            <w:t>Rejection of SUCIs using an uncompressed point with Profile B.</w:t>
            <w:tab/>
          </w:r>
          <w:hyperlink w:anchor="__RefHeading___Toc153454911">
            <w:r>
              <w:rPr>
                <w:rStyle w:val="IndexLink"/>
                <w:lang w:val="en-US" w:eastAsia="en-US"/>
              </w:rPr>
              <w:t>9</w:t>
            </w:r>
          </w:hyperlink>
        </w:p>
        <w:p>
          <w:pPr>
            <w:pStyle w:val="TOC3"/>
            <w:rPr>
              <w:rFonts w:ascii="Calibri" w:hAnsi="Calibri" w:cs="Calibri"/>
              <w:sz w:val="22"/>
              <w:szCs w:val="22"/>
              <w:lang w:val="en-US" w:eastAsia="en-US"/>
            </w:rPr>
          </w:pPr>
          <w:r>
            <w:rPr>
              <w:lang w:val="en-US" w:eastAsia="en-US"/>
            </w:rPr>
            <w:t>4.2.2</w:t>
          </w:r>
          <w:r>
            <w:rPr>
              <w:rFonts w:cs="Calibri" w:ascii="Calibri" w:hAnsi="Calibri"/>
              <w:sz w:val="22"/>
              <w:szCs w:val="22"/>
              <w:lang w:val="en-US" w:eastAsia="en-US"/>
            </w:rPr>
            <w:tab/>
          </w:r>
          <w:r>
            <w:rPr>
              <w:lang w:val="en-US" w:eastAsia="en-US"/>
            </w:rPr>
            <w:t>Authentication and key agreement procedure</w:t>
            <w:tab/>
          </w:r>
          <w:hyperlink w:anchor="__RefHeading___Toc153454912">
            <w:r>
              <w:rPr>
                <w:rStyle w:val="IndexLink"/>
                <w:lang w:val="en-US" w:eastAsia="en-US"/>
              </w:rPr>
              <w:t>10</w:t>
            </w:r>
          </w:hyperlink>
        </w:p>
        <w:p>
          <w:pPr>
            <w:pStyle w:val="TOC4"/>
            <w:rPr>
              <w:rFonts w:ascii="Calibri" w:hAnsi="Calibri" w:cs="Calibri"/>
              <w:sz w:val="22"/>
              <w:szCs w:val="22"/>
              <w:lang w:val="en-US" w:eastAsia="en-US"/>
            </w:rPr>
          </w:pPr>
          <w:r>
            <w:rPr>
              <w:lang w:val="en-US" w:eastAsia="en-US"/>
            </w:rPr>
            <w:t>4.2.2.1</w:t>
          </w:r>
          <w:r>
            <w:rPr>
              <w:rFonts w:cs="Calibri" w:ascii="Calibri" w:hAnsi="Calibri"/>
              <w:sz w:val="22"/>
              <w:szCs w:val="22"/>
              <w:lang w:val="en-US" w:eastAsia="en-US"/>
            </w:rPr>
            <w:tab/>
          </w:r>
          <w:r>
            <w:rPr>
              <w:lang w:val="en-US" w:eastAsia="en-US"/>
            </w:rPr>
            <w:t>Synchronization failure handling</w:t>
            <w:tab/>
          </w:r>
          <w:hyperlink w:anchor="__RefHeading___Toc153454913">
            <w:r>
              <w:rPr>
                <w:rStyle w:val="IndexLink"/>
                <w:lang w:val="en-US" w:eastAsia="en-US"/>
              </w:rPr>
              <w:t>10</w:t>
            </w:r>
          </w:hyperlink>
        </w:p>
        <w:p>
          <w:pPr>
            <w:pStyle w:val="TOC4"/>
            <w:rPr>
              <w:rFonts w:ascii="Calibri" w:hAnsi="Calibri" w:cs="Calibri"/>
              <w:sz w:val="22"/>
              <w:szCs w:val="22"/>
              <w:lang w:val="en-US" w:eastAsia="en-US"/>
            </w:rPr>
          </w:pPr>
          <w:r>
            <w:rPr>
              <w:lang w:val="en-US" w:eastAsia="en-US"/>
            </w:rPr>
            <w:t>4.2.2.2</w:t>
          </w:r>
          <w:r>
            <w:rPr>
              <w:rFonts w:cs="Calibri" w:ascii="Calibri" w:hAnsi="Calibri"/>
              <w:sz w:val="22"/>
              <w:szCs w:val="22"/>
              <w:lang w:val="en-US" w:eastAsia="en-US"/>
            </w:rPr>
            <w:tab/>
          </w:r>
          <w:r>
            <w:rPr>
              <w:lang w:val="en-US" w:eastAsia="en-US"/>
            </w:rPr>
            <w:t>Storing of authentication status of UE by UDM</w:t>
            <w:tab/>
          </w:r>
          <w:hyperlink w:anchor="__RefHeading___Toc153454914">
            <w:r>
              <w:rPr>
                <w:rStyle w:val="IndexLink"/>
                <w:lang w:val="en-US" w:eastAsia="en-US"/>
              </w:rPr>
              <w:t>11</w:t>
            </w:r>
          </w:hyperlink>
        </w:p>
        <w:p>
          <w:pPr>
            <w:pStyle w:val="TOC3"/>
            <w:rPr>
              <w:rFonts w:ascii="Calibri" w:hAnsi="Calibri" w:cs="Calibri"/>
              <w:sz w:val="22"/>
              <w:szCs w:val="22"/>
              <w:lang w:val="en-US" w:eastAsia="en-US"/>
            </w:rPr>
          </w:pPr>
          <w:r>
            <w:rPr>
              <w:lang w:val="en-US" w:eastAsia="en-US"/>
            </w:rPr>
            <w:t>4.2.3</w:t>
          </w:r>
          <w:r>
            <w:rPr>
              <w:rFonts w:cs="Calibri" w:ascii="Calibri" w:hAnsi="Calibri"/>
              <w:sz w:val="22"/>
              <w:szCs w:val="22"/>
              <w:lang w:val="en-US" w:eastAsia="en-US"/>
            </w:rPr>
            <w:tab/>
          </w:r>
          <w:r>
            <w:rPr>
              <w:lang w:val="en-US" w:eastAsia="en-US"/>
            </w:rPr>
            <w:t>Technical Baseline</w:t>
            <w:tab/>
          </w:r>
          <w:hyperlink w:anchor="__RefHeading___Toc153454915">
            <w:r>
              <w:rPr>
                <w:rStyle w:val="IndexLink"/>
                <w:lang w:val="en-US" w:eastAsia="en-US"/>
              </w:rPr>
              <w:t>12</w:t>
            </w:r>
          </w:hyperlink>
        </w:p>
        <w:p>
          <w:pPr>
            <w:pStyle w:val="TOC4"/>
            <w:rPr>
              <w:rFonts w:ascii="Calibri" w:hAnsi="Calibri" w:cs="Calibri"/>
              <w:sz w:val="22"/>
              <w:szCs w:val="22"/>
              <w:lang w:val="en-US" w:eastAsia="en-US"/>
            </w:rPr>
          </w:pPr>
          <w:r>
            <w:rPr>
              <w:lang w:val="en-US" w:eastAsia="en-US"/>
            </w:rPr>
            <w:t>4.2.3.1</w:t>
          </w:r>
          <w:r>
            <w:rPr>
              <w:rFonts w:cs="Calibri" w:ascii="Calibri" w:hAnsi="Calibri"/>
              <w:sz w:val="22"/>
              <w:szCs w:val="22"/>
              <w:lang w:val="en-US" w:eastAsia="en-US"/>
            </w:rPr>
            <w:tab/>
          </w:r>
          <w:r>
            <w:rPr>
              <w:lang w:val="en-US" w:eastAsia="en-US"/>
            </w:rPr>
            <w:t>Introduction</w:t>
            <w:tab/>
          </w:r>
          <w:hyperlink w:anchor="__RefHeading___Toc153454916">
            <w:r>
              <w:rPr>
                <w:rStyle w:val="IndexLink"/>
                <w:lang w:val="en-US" w:eastAsia="en-US"/>
              </w:rPr>
              <w:t>12</w:t>
            </w:r>
          </w:hyperlink>
        </w:p>
        <w:p>
          <w:pPr>
            <w:pStyle w:val="TOC4"/>
            <w:rPr>
              <w:rFonts w:ascii="Calibri" w:hAnsi="Calibri" w:cs="Calibri"/>
              <w:sz w:val="22"/>
              <w:szCs w:val="22"/>
              <w:lang w:val="en-US" w:eastAsia="en-US"/>
            </w:rPr>
          </w:pPr>
          <w:r>
            <w:rPr>
              <w:lang w:val="en-US" w:eastAsia="en-US"/>
            </w:rPr>
            <w:t>4.2.3.2</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w:t>
            <w:tab/>
          </w:r>
          <w:hyperlink w:anchor="__RefHeading___Toc153454917">
            <w:r>
              <w:rPr>
                <w:rStyle w:val="IndexLink"/>
                <w:lang w:val="en-US" w:eastAsia="en-US"/>
              </w:rPr>
              <w:t>12</w:t>
            </w:r>
          </w:hyperlink>
        </w:p>
        <w:p>
          <w:pPr>
            <w:pStyle w:val="TOC5"/>
            <w:rPr>
              <w:rFonts w:ascii="Calibri" w:hAnsi="Calibri" w:cs="Calibri"/>
              <w:sz w:val="22"/>
              <w:szCs w:val="22"/>
              <w:lang w:val="en-US" w:eastAsia="en-US"/>
            </w:rPr>
          </w:pPr>
          <w:r>
            <w:rPr>
              <w:lang w:val="en-US" w:eastAsia="en-US"/>
            </w:rPr>
            <w:t>4.2.3.2.1</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general</w:t>
            <w:tab/>
          </w:r>
          <w:hyperlink w:anchor="__RefHeading___Toc153454918">
            <w:r>
              <w:rPr>
                <w:rStyle w:val="IndexLink"/>
                <w:lang w:val="en-US" w:eastAsia="en-US"/>
              </w:rPr>
              <w:t>12</w:t>
            </w:r>
          </w:hyperlink>
        </w:p>
        <w:p>
          <w:pPr>
            <w:pStyle w:val="TOC5"/>
            <w:rPr>
              <w:rFonts w:ascii="Calibri" w:hAnsi="Calibri" w:cs="Calibri"/>
              <w:sz w:val="22"/>
              <w:szCs w:val="22"/>
              <w:lang w:val="en-US" w:eastAsia="en-US"/>
            </w:rPr>
          </w:pPr>
          <w:r>
            <w:rPr>
              <w:lang w:val="en-US" w:eastAsia="en-US"/>
            </w:rPr>
            <w:t>4.2.3.2.2</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unauthorized viewing</w:t>
            <w:tab/>
          </w:r>
          <w:hyperlink w:anchor="__RefHeading___Toc153454919">
            <w:r>
              <w:rPr>
                <w:rStyle w:val="IndexLink"/>
                <w:lang w:val="en-US" w:eastAsia="en-US"/>
              </w:rPr>
              <w:t>12</w:t>
            </w:r>
          </w:hyperlink>
        </w:p>
        <w:p>
          <w:pPr>
            <w:pStyle w:val="TOC5"/>
            <w:rPr>
              <w:rFonts w:ascii="Calibri" w:hAnsi="Calibri" w:cs="Calibri"/>
              <w:sz w:val="22"/>
              <w:szCs w:val="22"/>
              <w:lang w:val="en-US" w:eastAsia="en-US"/>
            </w:rPr>
          </w:pPr>
          <w:r>
            <w:rPr>
              <w:lang w:val="en-US" w:eastAsia="en-US"/>
            </w:rPr>
            <w:t>4.2.3.2.3</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storage</w:t>
            <w:tab/>
          </w:r>
          <w:hyperlink w:anchor="__RefHeading___Toc153454920">
            <w:r>
              <w:rPr>
                <w:rStyle w:val="IndexLink"/>
                <w:lang w:val="en-US" w:eastAsia="en-US"/>
              </w:rPr>
              <w:t>12</w:t>
            </w:r>
          </w:hyperlink>
        </w:p>
        <w:p>
          <w:pPr>
            <w:pStyle w:val="TOC5"/>
            <w:rPr>
              <w:rFonts w:ascii="Calibri" w:hAnsi="Calibri" w:cs="Calibri"/>
              <w:sz w:val="22"/>
              <w:szCs w:val="22"/>
              <w:lang w:val="en-US" w:eastAsia="en-US"/>
            </w:rPr>
          </w:pPr>
          <w:r>
            <w:rPr>
              <w:lang w:val="en-US" w:eastAsia="en-US"/>
            </w:rPr>
            <w:t>4.2.3.2.4</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transfer</w:t>
            <w:tab/>
          </w:r>
          <w:hyperlink w:anchor="__RefHeading___Toc153454921">
            <w:r>
              <w:rPr>
                <w:rStyle w:val="IndexLink"/>
                <w:lang w:val="en-US" w:eastAsia="en-US"/>
              </w:rPr>
              <w:t>12</w:t>
            </w:r>
          </w:hyperlink>
        </w:p>
        <w:p>
          <w:pPr>
            <w:pStyle w:val="TOC5"/>
            <w:rPr>
              <w:rFonts w:ascii="Calibri" w:hAnsi="Calibri" w:cs="Calibri"/>
              <w:sz w:val="22"/>
              <w:szCs w:val="22"/>
              <w:lang w:val="en-US" w:eastAsia="en-US"/>
            </w:rPr>
          </w:pPr>
          <w:r>
            <w:rPr>
              <w:lang w:val="en-US" w:eastAsia="en-US"/>
            </w:rPr>
            <w:t>4.2.3.2.5</w:t>
          </w:r>
          <w:r>
            <w:rPr>
              <w:rFonts w:cs="Calibri" w:ascii="Calibri" w:hAnsi="Calibri"/>
              <w:sz w:val="22"/>
              <w:szCs w:val="22"/>
              <w:lang w:val="en-US" w:eastAsia="en-US"/>
            </w:rPr>
            <w:tab/>
          </w:r>
          <w:r>
            <w:rPr>
              <w:lang w:val="en-US" w:eastAsia="en-US"/>
            </w:rPr>
            <w:t>Logging access to personal data</w:t>
            <w:tab/>
          </w:r>
          <w:hyperlink w:anchor="__RefHeading___Toc153454922">
            <w:r>
              <w:rPr>
                <w:rStyle w:val="IndexLink"/>
                <w:lang w:val="en-US" w:eastAsia="en-US"/>
              </w:rPr>
              <w:t>12</w:t>
            </w:r>
          </w:hyperlink>
        </w:p>
        <w:p>
          <w:pPr>
            <w:pStyle w:val="TOC4"/>
            <w:rPr>
              <w:rFonts w:ascii="Calibri" w:hAnsi="Calibri" w:cs="Calibri"/>
              <w:sz w:val="22"/>
              <w:szCs w:val="22"/>
              <w:lang w:val="en-US" w:eastAsia="en-US"/>
            </w:rPr>
          </w:pPr>
          <w:r>
            <w:rPr>
              <w:lang w:val="en-US" w:eastAsia="en-US"/>
            </w:rPr>
            <w:t>4.2.3.3</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availability</w:t>
          </w:r>
          <w:r>
            <w:rPr>
              <w:spacing w:val="-12"/>
              <w:lang w:val="en-US" w:eastAsia="en-US"/>
            </w:rPr>
            <w:t xml:space="preserve"> </w:t>
          </w:r>
          <w:r>
            <w:rPr>
              <w:lang w:val="en-US" w:eastAsia="en-US"/>
            </w:rPr>
            <w:t>and</w:t>
          </w:r>
          <w:r>
            <w:rPr>
              <w:spacing w:val="-4"/>
              <w:lang w:val="en-US" w:eastAsia="en-US"/>
            </w:rPr>
            <w:t xml:space="preserve"> </w:t>
          </w:r>
          <w:r>
            <w:rPr>
              <w:lang w:val="en-US" w:eastAsia="en-US"/>
            </w:rPr>
            <w:t>integrity</w:t>
            <w:tab/>
          </w:r>
          <w:hyperlink w:anchor="__RefHeading___Toc153454923">
            <w:r>
              <w:rPr>
                <w:rStyle w:val="IndexLink"/>
                <w:lang w:val="en-US" w:eastAsia="en-US"/>
              </w:rPr>
              <w:t>12</w:t>
            </w:r>
          </w:hyperlink>
        </w:p>
        <w:p>
          <w:pPr>
            <w:pStyle w:val="TOC4"/>
            <w:rPr>
              <w:rFonts w:ascii="Calibri" w:hAnsi="Calibri" w:cs="Calibri"/>
              <w:sz w:val="22"/>
              <w:szCs w:val="22"/>
              <w:lang w:val="en-US" w:eastAsia="en-US"/>
            </w:rPr>
          </w:pPr>
          <w:r>
            <w:rPr>
              <w:lang w:val="en-US" w:eastAsia="en-US"/>
            </w:rPr>
            <w:t>4.2.3.4</w:t>
          </w:r>
          <w:r>
            <w:rPr>
              <w:rFonts w:cs="Calibri" w:ascii="Calibri" w:hAnsi="Calibri"/>
              <w:sz w:val="22"/>
              <w:szCs w:val="22"/>
              <w:lang w:val="en-US" w:eastAsia="en-US"/>
            </w:rPr>
            <w:tab/>
          </w:r>
          <w:r>
            <w:rPr>
              <w:lang w:val="en-US" w:eastAsia="en-US"/>
            </w:rPr>
            <w:t>Authentication</w:t>
          </w:r>
          <w:r>
            <w:rPr>
              <w:spacing w:val="-17"/>
              <w:lang w:val="en-US" w:eastAsia="en-US"/>
            </w:rPr>
            <w:t xml:space="preserve"> </w:t>
          </w:r>
          <w:r>
            <w:rPr>
              <w:lang w:val="en-US" w:eastAsia="en-US"/>
            </w:rPr>
            <w:t>and</w:t>
          </w:r>
          <w:r>
            <w:rPr>
              <w:spacing w:val="-4"/>
              <w:lang w:val="en-US" w:eastAsia="en-US"/>
            </w:rPr>
            <w:t xml:space="preserve"> </w:t>
          </w:r>
          <w:r>
            <w:rPr>
              <w:lang w:val="en-US" w:eastAsia="en-US"/>
            </w:rPr>
            <w:t>authorization</w:t>
            <w:tab/>
          </w:r>
          <w:hyperlink w:anchor="__RefHeading___Toc153454924">
            <w:r>
              <w:rPr>
                <w:rStyle w:val="IndexLink"/>
                <w:lang w:val="en-US" w:eastAsia="en-US"/>
              </w:rPr>
              <w:t>12</w:t>
            </w:r>
          </w:hyperlink>
        </w:p>
        <w:p>
          <w:pPr>
            <w:pStyle w:val="TOC4"/>
            <w:rPr>
              <w:rFonts w:ascii="Calibri" w:hAnsi="Calibri" w:cs="Calibri"/>
              <w:sz w:val="22"/>
              <w:szCs w:val="22"/>
              <w:lang w:val="en-US" w:eastAsia="en-US"/>
            </w:rPr>
          </w:pPr>
          <w:r>
            <w:rPr>
              <w:lang w:val="en-US" w:eastAsia="en-US"/>
            </w:rPr>
            <w:t>4.2.3.5</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sessions</w:t>
            <w:tab/>
          </w:r>
          <w:hyperlink w:anchor="__RefHeading___Toc153454925">
            <w:r>
              <w:rPr>
                <w:rStyle w:val="IndexLink"/>
                <w:lang w:val="en-US" w:eastAsia="en-US"/>
              </w:rPr>
              <w:t>12</w:t>
            </w:r>
          </w:hyperlink>
        </w:p>
        <w:p>
          <w:pPr>
            <w:pStyle w:val="TOC4"/>
            <w:rPr>
              <w:rFonts w:ascii="Calibri" w:hAnsi="Calibri" w:cs="Calibri"/>
              <w:sz w:val="22"/>
              <w:szCs w:val="22"/>
              <w:lang w:val="en-US" w:eastAsia="en-US"/>
            </w:rPr>
          </w:pPr>
          <w:r>
            <w:rPr>
              <w:lang w:val="en-US" w:eastAsia="en-US"/>
            </w:rPr>
            <w:t>4.2.3.6</w:t>
          </w:r>
          <w:r>
            <w:rPr>
              <w:rFonts w:cs="Calibri" w:ascii="Calibri" w:hAnsi="Calibri"/>
              <w:sz w:val="22"/>
              <w:szCs w:val="22"/>
              <w:lang w:val="en-US" w:eastAsia="en-US"/>
            </w:rPr>
            <w:tab/>
          </w:r>
          <w:r>
            <w:rPr>
              <w:lang w:val="en-US" w:eastAsia="en-US"/>
            </w:rPr>
            <w:t>Logging</w:t>
            <w:tab/>
          </w:r>
          <w:hyperlink w:anchor="__RefHeading___Toc153454926">
            <w:r>
              <w:rPr>
                <w:rStyle w:val="IndexLink"/>
                <w:lang w:val="en-US" w:eastAsia="en-US"/>
              </w:rPr>
              <w:t>12</w:t>
            </w:r>
          </w:hyperlink>
        </w:p>
        <w:p>
          <w:pPr>
            <w:pStyle w:val="TOC3"/>
            <w:rPr>
              <w:rFonts w:ascii="Calibri" w:hAnsi="Calibri" w:cs="Calibri"/>
              <w:sz w:val="22"/>
              <w:szCs w:val="22"/>
              <w:lang w:val="en-US" w:eastAsia="en-US"/>
            </w:rPr>
          </w:pPr>
          <w:r>
            <w:rPr>
              <w:lang w:val="en-US" w:eastAsia="en-US"/>
            </w:rPr>
            <w:t>4.2.4</w:t>
          </w:r>
          <w:r>
            <w:rPr>
              <w:rFonts w:cs="Calibri" w:ascii="Calibri" w:hAnsi="Calibri"/>
              <w:sz w:val="22"/>
              <w:szCs w:val="22"/>
              <w:lang w:val="en-US" w:eastAsia="en-US"/>
            </w:rPr>
            <w:tab/>
          </w:r>
          <w:r>
            <w:rPr>
              <w:lang w:val="en-US" w:eastAsia="en-US"/>
            </w:rPr>
            <w:t>Operating Systems</w:t>
            <w:tab/>
          </w:r>
          <w:hyperlink w:anchor="__RefHeading___Toc153454927">
            <w:r>
              <w:rPr>
                <w:rStyle w:val="IndexLink"/>
                <w:lang w:val="en-US" w:eastAsia="en-US"/>
              </w:rPr>
              <w:t>12</w:t>
            </w:r>
          </w:hyperlink>
        </w:p>
        <w:p>
          <w:pPr>
            <w:pStyle w:val="TOC3"/>
            <w:rPr>
              <w:rFonts w:ascii="Calibri" w:hAnsi="Calibri" w:cs="Calibri"/>
              <w:sz w:val="22"/>
              <w:szCs w:val="22"/>
              <w:lang w:val="en-US" w:eastAsia="en-US"/>
            </w:rPr>
          </w:pPr>
          <w:r>
            <w:rPr>
              <w:lang w:val="en-US" w:eastAsia="en-US"/>
            </w:rPr>
            <w:t>4.2.5</w:t>
          </w:r>
          <w:r>
            <w:rPr>
              <w:rFonts w:cs="Calibri" w:ascii="Calibri" w:hAnsi="Calibri"/>
              <w:sz w:val="22"/>
              <w:szCs w:val="22"/>
              <w:lang w:val="en-US" w:eastAsia="en-US"/>
            </w:rPr>
            <w:tab/>
          </w:r>
          <w:r>
            <w:rPr>
              <w:lang w:val="en-US" w:eastAsia="en-US"/>
            </w:rPr>
            <w:t>Web Servers</w:t>
            <w:tab/>
          </w:r>
          <w:hyperlink w:anchor="__RefHeading___Toc153454928">
            <w:r>
              <w:rPr>
                <w:rStyle w:val="IndexLink"/>
                <w:lang w:val="en-US" w:eastAsia="en-US"/>
              </w:rPr>
              <w:t>12</w:t>
            </w:r>
          </w:hyperlink>
        </w:p>
        <w:p>
          <w:pPr>
            <w:pStyle w:val="TOC3"/>
            <w:rPr>
              <w:rFonts w:ascii="Calibri" w:hAnsi="Calibri" w:cs="Calibri"/>
              <w:sz w:val="22"/>
              <w:szCs w:val="22"/>
              <w:lang w:val="en-US" w:eastAsia="en-US"/>
            </w:rPr>
          </w:pPr>
          <w:r>
            <w:rPr>
              <w:lang w:val="en-US" w:eastAsia="en-US"/>
            </w:rPr>
            <w:t>4.2.6</w:t>
          </w:r>
          <w:r>
            <w:rPr>
              <w:rFonts w:cs="Calibri" w:ascii="Calibri" w:hAnsi="Calibri"/>
              <w:sz w:val="22"/>
              <w:szCs w:val="22"/>
              <w:lang w:val="en-US" w:eastAsia="en-US"/>
            </w:rPr>
            <w:tab/>
          </w:r>
          <w:r>
            <w:rPr>
              <w:lang w:val="en-US" w:eastAsia="en-US"/>
            </w:rPr>
            <w:t>Network Devices</w:t>
            <w:tab/>
          </w:r>
          <w:hyperlink w:anchor="__RefHeading___Toc153454929">
            <w:r>
              <w:rPr>
                <w:rStyle w:val="IndexLink"/>
                <w:lang w:val="en-US" w:eastAsia="en-US"/>
              </w:rPr>
              <w:t>13</w:t>
            </w:r>
          </w:hyperlink>
        </w:p>
        <w:p>
          <w:pPr>
            <w:pStyle w:val="TOC3"/>
            <w:rPr>
              <w:rFonts w:ascii="Calibri" w:hAnsi="Calibri" w:cs="Calibri"/>
              <w:sz w:val="22"/>
              <w:szCs w:val="22"/>
              <w:lang w:val="en-US" w:eastAsia="en-US"/>
            </w:rPr>
          </w:pPr>
          <w:r>
            <w:rPr>
              <w:lang w:val="en-US" w:eastAsia="en-US"/>
            </w:rPr>
            <w:t>4.2.7</w:t>
          </w:r>
          <w:r>
            <w:rPr>
              <w:rFonts w:cs="Calibri" w:ascii="Calibri" w:hAnsi="Calibri"/>
              <w:sz w:val="22"/>
              <w:szCs w:val="22"/>
              <w:lang w:val="en-US" w:eastAsia="en-US"/>
            </w:rPr>
            <w:tab/>
          </w:r>
          <w:r>
            <w:rPr>
              <w:lang w:val="en-US" w:eastAsia="en-US"/>
            </w:rPr>
            <w:t>User plane security procedures</w:t>
            <w:tab/>
          </w:r>
          <w:hyperlink w:anchor="__RefHeading___Toc153454930">
            <w:r>
              <w:rPr>
                <w:rStyle w:val="IndexLink"/>
                <w:lang w:val="en-US" w:eastAsia="en-US"/>
              </w:rPr>
              <w:t>13</w:t>
            </w:r>
          </w:hyperlink>
        </w:p>
        <w:p>
          <w:pPr>
            <w:pStyle w:val="TOC4"/>
            <w:rPr>
              <w:rFonts w:ascii="Calibri" w:hAnsi="Calibri" w:cs="Calibri"/>
              <w:sz w:val="22"/>
              <w:szCs w:val="22"/>
              <w:lang w:val="en-US" w:eastAsia="en-US"/>
            </w:rPr>
          </w:pPr>
          <w:r>
            <w:rPr>
              <w:lang w:val="en-US" w:eastAsia="en-US"/>
            </w:rPr>
            <w:t>4.2.7.1 UP</w:t>
          </w:r>
          <w:r>
            <w:rPr>
              <w:rFonts w:cs="Calibri" w:ascii="Calibri" w:hAnsi="Calibri"/>
              <w:sz w:val="22"/>
              <w:szCs w:val="22"/>
              <w:lang w:val="en-US" w:eastAsia="en-US"/>
            </w:rPr>
            <w:tab/>
          </w:r>
          <w:r>
            <w:rPr>
              <w:lang w:val="en-US" w:eastAsia="en-US"/>
            </w:rPr>
            <w:t>Security enforcement configuration for TSC service</w:t>
            <w:tab/>
          </w:r>
          <w:hyperlink w:anchor="__RefHeading___Toc153454931">
            <w:r>
              <w:rPr>
                <w:rStyle w:val="IndexLink"/>
                <w:lang w:val="en-US" w:eastAsia="en-US"/>
              </w:rPr>
              <w:t>13</w:t>
            </w:r>
          </w:hyperlink>
        </w:p>
        <w:p>
          <w:pPr>
            <w:pStyle w:val="TOC3"/>
            <w:rPr>
              <w:rFonts w:ascii="Calibri" w:hAnsi="Calibri" w:cs="Calibri"/>
              <w:sz w:val="22"/>
              <w:szCs w:val="22"/>
              <w:lang w:val="en-US" w:eastAsia="en-US"/>
            </w:rPr>
          </w:pPr>
          <w:r>
            <w:rPr>
              <w:lang w:val="en-US" w:eastAsia="en-US"/>
            </w:rPr>
            <w:t>4.2.8</w:t>
          </w:r>
          <w:r>
            <w:rPr>
              <w:rFonts w:cs="Calibri" w:ascii="Calibri" w:hAnsi="Calibri"/>
              <w:sz w:val="22"/>
              <w:szCs w:val="22"/>
              <w:lang w:val="en-US" w:eastAsia="en-US"/>
            </w:rPr>
            <w:tab/>
          </w:r>
          <w:r>
            <w:rPr>
              <w:lang w:val="en-US" w:eastAsia="en-US"/>
            </w:rPr>
            <w:t>User plane security procedures</w:t>
            <w:tab/>
          </w:r>
          <w:hyperlink w:anchor="__RefHeading___Toc153454932">
            <w:r>
              <w:rPr>
                <w:rStyle w:val="IndexLink"/>
                <w:lang w:val="en-US" w:eastAsia="en-US"/>
              </w:rPr>
              <w:t>14</w:t>
            </w:r>
          </w:hyperlink>
        </w:p>
        <w:p>
          <w:pPr>
            <w:pStyle w:val="TOC4"/>
            <w:rPr>
              <w:rFonts w:ascii="Calibri" w:hAnsi="Calibri" w:cs="Calibri"/>
              <w:sz w:val="22"/>
              <w:szCs w:val="22"/>
              <w:lang w:val="en-US" w:eastAsia="en-US"/>
            </w:rPr>
          </w:pPr>
          <w:r>
            <w:rPr>
              <w:lang w:val="en-US" w:eastAsia="en-US"/>
            </w:rPr>
            <w:t>4.2.8.1</w:t>
          </w:r>
          <w:r>
            <w:rPr>
              <w:rFonts w:cs="Calibri" w:ascii="Calibri" w:hAnsi="Calibri"/>
              <w:sz w:val="22"/>
              <w:szCs w:val="22"/>
              <w:lang w:val="en-US" w:eastAsia="en-US"/>
            </w:rPr>
            <w:tab/>
          </w:r>
          <w:r>
            <w:rPr>
              <w:lang w:val="en-US" w:eastAsia="en-US"/>
            </w:rPr>
            <w:t>UP security policy configuration for 5G LAN service</w:t>
            <w:tab/>
          </w:r>
          <w:hyperlink w:anchor="__RefHeading___Toc153454933">
            <w:r>
              <w:rPr>
                <w:rStyle w:val="IndexLink"/>
                <w:lang w:val="en-US" w:eastAsia="en-US"/>
              </w:rPr>
              <w:t>14</w:t>
            </w:r>
          </w:hyperlink>
        </w:p>
        <w:p>
          <w:pPr>
            <w:pStyle w:val="TOC2"/>
            <w:rPr>
              <w:rFonts w:ascii="Calibri" w:hAnsi="Calibri" w:cs="Calibri"/>
              <w:sz w:val="22"/>
              <w:szCs w:val="22"/>
              <w:lang w:val="en-US" w:eastAsia="en-US"/>
            </w:rPr>
          </w:pPr>
          <w:r>
            <w:rPr>
              <w:lang w:val="en-US" w:eastAsia="en-US"/>
            </w:rPr>
            <w:t>4.3</w:t>
          </w:r>
          <w:r>
            <w:rPr>
              <w:rFonts w:cs="Calibri" w:ascii="Calibri" w:hAnsi="Calibri"/>
              <w:sz w:val="22"/>
              <w:szCs w:val="22"/>
              <w:lang w:val="en-US" w:eastAsia="en-US"/>
            </w:rPr>
            <w:tab/>
          </w:r>
          <w:r>
            <w:rPr>
              <w:lang w:val="en-US" w:eastAsia="en-US"/>
            </w:rPr>
            <w:t>UDM-specific adaptations of hardening requirements and related test cases</w:t>
            <w:tab/>
          </w:r>
          <w:hyperlink w:anchor="__RefHeading___Toc153454934">
            <w:r>
              <w:rPr>
                <w:rStyle w:val="IndexLink"/>
                <w:lang w:val="en-US" w:eastAsia="en-US"/>
              </w:rPr>
              <w:t>15</w:t>
            </w:r>
          </w:hyperlink>
        </w:p>
        <w:p>
          <w:pPr>
            <w:pStyle w:val="TOC3"/>
            <w:rPr>
              <w:rFonts w:ascii="Calibri" w:hAnsi="Calibri" w:cs="Calibri"/>
              <w:sz w:val="22"/>
              <w:szCs w:val="22"/>
              <w:lang w:val="en-US" w:eastAsia="en-US"/>
            </w:rPr>
          </w:pPr>
          <w:r>
            <w:rPr>
              <w:lang w:val="en-US" w:eastAsia="en-US"/>
            </w:rPr>
            <w:t>4.3.1</w:t>
          </w:r>
          <w:r>
            <w:rPr>
              <w:rFonts w:cs="Calibri" w:ascii="Calibri" w:hAnsi="Calibri"/>
              <w:sz w:val="22"/>
              <w:szCs w:val="22"/>
              <w:lang w:val="en-US" w:eastAsia="en-US"/>
            </w:rPr>
            <w:tab/>
          </w:r>
          <w:r>
            <w:rPr>
              <w:lang w:val="en-US" w:eastAsia="en-US"/>
            </w:rPr>
            <w:t>Introduction</w:t>
            <w:tab/>
          </w:r>
          <w:hyperlink w:anchor="__RefHeading___Toc153454935">
            <w:r>
              <w:rPr>
                <w:rStyle w:val="IndexLink"/>
                <w:lang w:val="en-US" w:eastAsia="en-US"/>
              </w:rPr>
              <w:t>15</w:t>
            </w:r>
          </w:hyperlink>
        </w:p>
        <w:p>
          <w:pPr>
            <w:pStyle w:val="TOC3"/>
            <w:rPr>
              <w:rFonts w:ascii="Calibri" w:hAnsi="Calibri" w:cs="Calibri"/>
              <w:sz w:val="22"/>
              <w:szCs w:val="22"/>
              <w:lang w:val="en-US" w:eastAsia="en-US"/>
            </w:rPr>
          </w:pPr>
          <w:r>
            <w:rPr>
              <w:lang w:val="en-US" w:eastAsia="en-US"/>
            </w:rPr>
            <w:t>4.3.2</w:t>
          </w:r>
          <w:r>
            <w:rPr>
              <w:rFonts w:cs="Calibri" w:ascii="Calibri" w:hAnsi="Calibri"/>
              <w:sz w:val="22"/>
              <w:szCs w:val="22"/>
              <w:lang w:val="en-US" w:eastAsia="en-US"/>
            </w:rPr>
            <w:tab/>
          </w:r>
          <w:r>
            <w:rPr>
              <w:lang w:val="en-US" w:eastAsia="en-US"/>
            </w:rPr>
            <w:t>Technical baseline</w:t>
            <w:tab/>
          </w:r>
          <w:hyperlink w:anchor="__RefHeading___Toc153454936">
            <w:r>
              <w:rPr>
                <w:rStyle w:val="IndexLink"/>
                <w:lang w:val="en-US" w:eastAsia="en-US"/>
              </w:rPr>
              <w:t>15</w:t>
            </w:r>
          </w:hyperlink>
        </w:p>
        <w:p>
          <w:pPr>
            <w:pStyle w:val="TOC3"/>
            <w:rPr>
              <w:rFonts w:ascii="Calibri" w:hAnsi="Calibri" w:cs="Calibri"/>
              <w:sz w:val="22"/>
              <w:szCs w:val="22"/>
              <w:lang w:val="en-US" w:eastAsia="en-US"/>
            </w:rPr>
          </w:pPr>
          <w:r>
            <w:rPr>
              <w:lang w:val="en-US" w:eastAsia="en-US"/>
            </w:rPr>
            <w:t>4.3.3</w:t>
          </w:r>
          <w:r>
            <w:rPr>
              <w:rFonts w:cs="Calibri" w:ascii="Calibri" w:hAnsi="Calibri"/>
              <w:sz w:val="22"/>
              <w:szCs w:val="22"/>
              <w:lang w:val="en-US" w:eastAsia="en-US"/>
            </w:rPr>
            <w:tab/>
          </w:r>
          <w:r>
            <w:rPr>
              <w:lang w:val="en-US" w:eastAsia="en-US"/>
            </w:rPr>
            <w:t>Operating systems</w:t>
            <w:tab/>
          </w:r>
          <w:hyperlink w:anchor="__RefHeading___Toc153454937">
            <w:r>
              <w:rPr>
                <w:rStyle w:val="IndexLink"/>
                <w:lang w:val="en-US" w:eastAsia="en-US"/>
              </w:rPr>
              <w:t>15</w:t>
            </w:r>
          </w:hyperlink>
        </w:p>
        <w:p>
          <w:pPr>
            <w:pStyle w:val="TOC3"/>
            <w:rPr>
              <w:rFonts w:ascii="Calibri" w:hAnsi="Calibri" w:cs="Calibri"/>
              <w:sz w:val="22"/>
              <w:szCs w:val="22"/>
              <w:lang w:val="en-US" w:eastAsia="en-US"/>
            </w:rPr>
          </w:pPr>
          <w:r>
            <w:rPr>
              <w:lang w:val="en-US" w:eastAsia="en-US"/>
            </w:rPr>
            <w:t>4.3.4</w:t>
          </w:r>
          <w:r>
            <w:rPr>
              <w:rFonts w:cs="Calibri" w:ascii="Calibri" w:hAnsi="Calibri"/>
              <w:sz w:val="22"/>
              <w:szCs w:val="22"/>
              <w:lang w:val="en-US" w:eastAsia="en-US"/>
            </w:rPr>
            <w:tab/>
          </w:r>
          <w:r>
            <w:rPr>
              <w:lang w:val="en-US" w:eastAsia="en-US"/>
            </w:rPr>
            <w:t>Web servers</w:t>
            <w:tab/>
          </w:r>
          <w:hyperlink w:anchor="__RefHeading___Toc153454938">
            <w:r>
              <w:rPr>
                <w:rStyle w:val="IndexLink"/>
                <w:lang w:val="en-US" w:eastAsia="en-US"/>
              </w:rPr>
              <w:t>15</w:t>
            </w:r>
          </w:hyperlink>
        </w:p>
        <w:p>
          <w:pPr>
            <w:pStyle w:val="TOC3"/>
            <w:rPr>
              <w:rFonts w:ascii="Calibri" w:hAnsi="Calibri" w:cs="Calibri"/>
              <w:sz w:val="22"/>
              <w:szCs w:val="22"/>
              <w:lang w:val="en-US" w:eastAsia="en-US"/>
            </w:rPr>
          </w:pPr>
          <w:r>
            <w:rPr>
              <w:lang w:val="en-US" w:eastAsia="en-US"/>
            </w:rPr>
            <w:t>4.3.5</w:t>
          </w:r>
          <w:r>
            <w:rPr>
              <w:rFonts w:cs="Calibri" w:ascii="Calibri" w:hAnsi="Calibri"/>
              <w:sz w:val="22"/>
              <w:szCs w:val="22"/>
              <w:lang w:val="en-US" w:eastAsia="en-US"/>
            </w:rPr>
            <w:tab/>
          </w:r>
          <w:r>
            <w:rPr>
              <w:lang w:val="en-US" w:eastAsia="en-US"/>
            </w:rPr>
            <w:t>Network devices</w:t>
            <w:tab/>
          </w:r>
          <w:hyperlink w:anchor="__RefHeading___Toc153454939">
            <w:r>
              <w:rPr>
                <w:rStyle w:val="IndexLink"/>
                <w:lang w:val="en-US" w:eastAsia="en-US"/>
              </w:rPr>
              <w:t>15</w:t>
            </w:r>
          </w:hyperlink>
        </w:p>
        <w:p>
          <w:pPr>
            <w:pStyle w:val="TOC3"/>
            <w:rPr>
              <w:rFonts w:ascii="Calibri" w:hAnsi="Calibri" w:cs="Calibri"/>
              <w:sz w:val="22"/>
              <w:szCs w:val="22"/>
              <w:lang w:val="en-US" w:eastAsia="en-US"/>
            </w:rPr>
          </w:pPr>
          <w:r>
            <w:rPr>
              <w:rFonts w:eastAsia="SimSun;宋体"/>
              <w:lang w:val="en-US" w:eastAsia="en-US"/>
            </w:rPr>
            <w:t>4.3.6</w:t>
          </w:r>
          <w:r>
            <w:rPr>
              <w:rFonts w:cs="Calibri" w:ascii="Calibri" w:hAnsi="Calibri"/>
              <w:sz w:val="22"/>
              <w:szCs w:val="22"/>
              <w:lang w:val="en-US" w:eastAsia="en-US"/>
            </w:rPr>
            <w:tab/>
          </w:r>
          <w:r>
            <w:rPr>
              <w:rFonts w:eastAsia="SimSun;宋体"/>
              <w:lang w:val="en-US" w:eastAsia="en-US"/>
            </w:rPr>
            <w:t>Network functions in service-based architecture</w:t>
          </w:r>
          <w:r>
            <w:rPr>
              <w:lang w:val="en-US" w:eastAsia="en-US"/>
            </w:rPr>
            <w:tab/>
          </w:r>
          <w:hyperlink w:anchor="__RefHeading___Toc153454940">
            <w:r>
              <w:rPr>
                <w:rStyle w:val="IndexLink"/>
                <w:lang w:val="en-US" w:eastAsia="en-US"/>
              </w:rPr>
              <w:t>15</w:t>
            </w:r>
          </w:hyperlink>
        </w:p>
        <w:p>
          <w:pPr>
            <w:pStyle w:val="TOC2"/>
            <w:rPr>
              <w:rFonts w:ascii="Calibri" w:hAnsi="Calibri" w:cs="Calibri"/>
              <w:sz w:val="22"/>
              <w:szCs w:val="22"/>
              <w:lang w:val="en-US" w:eastAsia="en-US"/>
            </w:rPr>
          </w:pPr>
          <w:r>
            <w:rPr>
              <w:lang w:val="en-US" w:eastAsia="en-US"/>
            </w:rPr>
            <w:t>4.4</w:t>
          </w:r>
          <w:r>
            <w:rPr>
              <w:rFonts w:cs="Calibri" w:ascii="Calibri" w:hAnsi="Calibri"/>
              <w:sz w:val="22"/>
              <w:szCs w:val="22"/>
              <w:lang w:val="en-US" w:eastAsia="en-US"/>
            </w:rPr>
            <w:tab/>
          </w:r>
          <w:r>
            <w:rPr>
              <w:lang w:val="en-US" w:eastAsia="en-US"/>
            </w:rPr>
            <w:t>UDM-specific adaptations of basic vulnerability testing requirements and related test cases</w:t>
            <w:tab/>
          </w:r>
          <w:hyperlink w:anchor="__RefHeading___Toc153454941">
            <w:r>
              <w:rPr>
                <w:rStyle w:val="IndexLink"/>
                <w:lang w:val="en-US" w:eastAsia="en-US"/>
              </w:rPr>
              <w:t>15</w:t>
            </w:r>
          </w:hyperlink>
        </w:p>
        <w:p>
          <w:pPr>
            <w:pStyle w:val="TOC3"/>
            <w:rPr>
              <w:rFonts w:ascii="Calibri" w:hAnsi="Calibri" w:cs="Calibri"/>
              <w:sz w:val="22"/>
              <w:szCs w:val="22"/>
              <w:lang w:val="en-US" w:eastAsia="en-US"/>
            </w:rPr>
          </w:pPr>
          <w:r>
            <w:rPr>
              <w:rFonts w:eastAsia="MS Mincho;ＭＳ 明朝"/>
              <w:lang w:val="en-US" w:eastAsia="en-US"/>
            </w:rPr>
            <w:t>4.4.1</w:t>
          </w:r>
          <w:r>
            <w:rPr>
              <w:rFonts w:cs="Calibri" w:ascii="Calibri" w:hAnsi="Calibri"/>
              <w:sz w:val="22"/>
              <w:szCs w:val="22"/>
              <w:lang w:val="en-US" w:eastAsia="en-US"/>
            </w:rPr>
            <w:tab/>
          </w:r>
          <w:r>
            <w:rPr>
              <w:rFonts w:eastAsia="MS Mincho;ＭＳ 明朝"/>
              <w:lang w:val="en-US" w:eastAsia="en-US"/>
            </w:rPr>
            <w:t>Introduction</w:t>
          </w:r>
          <w:r>
            <w:rPr>
              <w:lang w:val="en-US" w:eastAsia="en-US"/>
            </w:rPr>
            <w:tab/>
          </w:r>
          <w:hyperlink w:anchor="__RefHeading___Toc153454942">
            <w:r>
              <w:rPr>
                <w:rStyle w:val="IndexLink"/>
                <w:lang w:val="en-US" w:eastAsia="en-US"/>
              </w:rPr>
              <w:t>15</w:t>
            </w:r>
          </w:hyperlink>
        </w:p>
        <w:p>
          <w:pPr>
            <w:pStyle w:val="TOC3"/>
            <w:rPr>
              <w:rFonts w:ascii="Calibri" w:hAnsi="Calibri" w:cs="Calibri"/>
              <w:sz w:val="22"/>
              <w:szCs w:val="22"/>
              <w:lang w:val="en-US" w:eastAsia="en-US"/>
            </w:rPr>
          </w:pPr>
          <w:r>
            <w:rPr>
              <w:rFonts w:eastAsia="MS Mincho;ＭＳ 明朝"/>
              <w:lang w:val="en-US" w:eastAsia="en-US"/>
            </w:rPr>
            <w:t>4.4.2</w:t>
          </w:r>
          <w:r>
            <w:rPr>
              <w:rFonts w:cs="Calibri" w:ascii="Calibri" w:hAnsi="Calibri"/>
              <w:sz w:val="22"/>
              <w:szCs w:val="22"/>
              <w:lang w:val="en-US" w:eastAsia="en-US"/>
            </w:rPr>
            <w:tab/>
          </w:r>
          <w:r>
            <w:rPr>
              <w:rFonts w:eastAsia="MS Mincho;ＭＳ 明朝"/>
              <w:lang w:val="en-US" w:eastAsia="en-US"/>
            </w:rPr>
            <w:t>Port scanning</w:t>
          </w:r>
          <w:r>
            <w:rPr>
              <w:lang w:val="en-US" w:eastAsia="en-US"/>
            </w:rPr>
            <w:tab/>
          </w:r>
          <w:hyperlink w:anchor="__RefHeading___Toc153454943">
            <w:r>
              <w:rPr>
                <w:rStyle w:val="IndexLink"/>
                <w:lang w:val="en-US" w:eastAsia="en-US"/>
              </w:rPr>
              <w:t>15</w:t>
            </w:r>
          </w:hyperlink>
        </w:p>
        <w:p>
          <w:pPr>
            <w:pStyle w:val="TOC3"/>
            <w:rPr>
              <w:rFonts w:ascii="Calibri" w:hAnsi="Calibri" w:cs="Calibri"/>
              <w:sz w:val="22"/>
              <w:szCs w:val="22"/>
              <w:lang w:val="en-US" w:eastAsia="en-US"/>
            </w:rPr>
          </w:pPr>
          <w:r>
            <w:rPr>
              <w:rFonts w:eastAsia="MS Mincho;ＭＳ 明朝"/>
              <w:lang w:val="en-US" w:eastAsia="en-US"/>
            </w:rPr>
            <w:t>4.4.3</w:t>
          </w:r>
          <w:r>
            <w:rPr>
              <w:rFonts w:cs="Calibri" w:ascii="Calibri" w:hAnsi="Calibri"/>
              <w:sz w:val="22"/>
              <w:szCs w:val="22"/>
              <w:lang w:val="en-US" w:eastAsia="en-US"/>
            </w:rPr>
            <w:tab/>
          </w:r>
          <w:r>
            <w:rPr>
              <w:rFonts w:eastAsia="MS Mincho;ＭＳ 明朝"/>
              <w:lang w:val="en-US" w:eastAsia="en-US"/>
            </w:rPr>
            <w:t>Vulnerability scanning</w:t>
          </w:r>
          <w:r>
            <w:rPr>
              <w:lang w:val="en-US" w:eastAsia="en-US"/>
            </w:rPr>
            <w:tab/>
          </w:r>
          <w:hyperlink w:anchor="__RefHeading___Toc153454944">
            <w:r>
              <w:rPr>
                <w:rStyle w:val="IndexLink"/>
                <w:lang w:val="en-US" w:eastAsia="en-US"/>
              </w:rPr>
              <w:t>16</w:t>
            </w:r>
          </w:hyperlink>
        </w:p>
        <w:p>
          <w:pPr>
            <w:pStyle w:val="TOC3"/>
            <w:rPr>
              <w:rFonts w:ascii="Calibri" w:hAnsi="Calibri" w:cs="Calibri"/>
              <w:sz w:val="22"/>
              <w:szCs w:val="22"/>
              <w:lang w:val="en-US" w:eastAsia="en-US"/>
            </w:rPr>
          </w:pPr>
          <w:r>
            <w:rPr>
              <w:rFonts w:eastAsia="MS Mincho;ＭＳ 明朝"/>
              <w:lang w:val="en-US" w:eastAsia="en-US"/>
            </w:rPr>
            <w:t>4.4.4</w:t>
          </w:r>
          <w:r>
            <w:rPr>
              <w:rFonts w:cs="Calibri" w:ascii="Calibri" w:hAnsi="Calibri"/>
              <w:sz w:val="22"/>
              <w:szCs w:val="22"/>
              <w:lang w:val="en-US" w:eastAsia="en-US"/>
            </w:rPr>
            <w:tab/>
          </w:r>
          <w:r>
            <w:rPr>
              <w:rFonts w:eastAsia="MS Mincho;ＭＳ 明朝"/>
              <w:lang w:val="en-US" w:eastAsia="en-US"/>
            </w:rPr>
            <w:t>Robustness and fuzz testing</w:t>
          </w:r>
          <w:r>
            <w:rPr>
              <w:lang w:val="en-US" w:eastAsia="en-US"/>
            </w:rPr>
            <w:tab/>
          </w:r>
          <w:hyperlink w:anchor="__RefHeading___Toc153454945">
            <w:r>
              <w:rPr>
                <w:rStyle w:val="IndexLink"/>
                <w:lang w:val="en-US" w:eastAsia="en-US"/>
              </w:rPr>
              <w:t>16</w:t>
            </w:r>
          </w:hyperlink>
        </w:p>
        <w:p>
          <w:pPr>
            <w:pStyle w:val="TOC8"/>
            <w:rPr>
              <w:rFonts w:ascii="Calibri" w:hAnsi="Calibri" w:cs="Calibri"/>
              <w:szCs w:val="22"/>
              <w:lang w:val="en-US" w:eastAsia="en-US"/>
            </w:rPr>
          </w:pPr>
          <w:r>
            <w:rPr>
              <w:b w:val="false"/>
              <w:lang w:val="en-US" w:eastAsia="en-US"/>
            </w:rPr>
            <w:t>Annex A (informative):</w:t>
            <w:tab/>
            <w:t>Change history</w:t>
            <w:tab/>
          </w:r>
          <w:hyperlink w:anchor="__RefHeading___Toc153454946">
            <w:r>
              <w:rPr>
                <w:rStyle w:val="IndexLink"/>
                <w:b w:val="false"/>
                <w:lang w:val="en-US" w:eastAsia="en-US"/>
              </w:rPr>
              <w:t>17</w:t>
            </w:r>
          </w:hyperlink>
          <w:r>
            <w:rPr>
              <w:rStyle w:val="IndexLink"/>
              <w:b w:val="false"/>
              <w:lang w:val="en-US" w:eastAsia="en-US"/>
            </w:rPr>
            <w:fldChar w:fldCharType="end"/>
          </w:r>
        </w:p>
      </w:sdtContent>
    </w:sdt>
    <w:p>
      <w:pPr>
        <w:pStyle w:val="Normal"/>
        <w:rPr>
          <w:rFonts w:ascii="Calibri" w:hAnsi="Calibri" w:cs="Calibri"/>
          <w:b/>
          <w:sz w:val="22"/>
          <w:szCs w:val="22"/>
          <w:lang w:val="en-US" w:eastAsia="en-US"/>
        </w:rPr>
      </w:pPr>
      <w:r>
        <w:rPr>
          <w:rFonts w:cs="Calibri" w:ascii="Calibri" w:hAnsi="Calibri"/>
          <w:b/>
          <w:sz w:val="22"/>
          <w:szCs w:val="22"/>
          <w:lang w:val="en-US" w:eastAsia="en-US"/>
        </w:rPr>
      </w:r>
      <w:r>
        <w:br w:type="page"/>
      </w:r>
    </w:p>
    <w:p>
      <w:pPr>
        <w:pStyle w:val="Heading1"/>
        <w:rPr/>
      </w:pPr>
      <w:bookmarkStart w:id="12" w:name="__RefHeading___Toc153454897"/>
      <w:bookmarkEnd w:id="12"/>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p>
    <w:p>
      <w:pPr>
        <w:pStyle w:val="Normal"/>
        <w:rPr/>
      </w:pPr>
      <w:r>
        <w:rPr/>
        <w:t>In the present document, modal verbs have the following meanings:</w:t>
      </w:r>
    </w:p>
    <w:p>
      <w:pPr>
        <w:pStyle w:val="EX"/>
        <w:rPr/>
      </w:pPr>
      <w:r>
        <w:rPr>
          <w:b/>
        </w:rPr>
        <w:t>shall</w:t>
      </w:r>
      <w:r>
        <w:rPr/>
        <w:tab/>
        <w:tab/>
        <w:t>indicates a mandatory requirement to do something</w:t>
      </w:r>
    </w:p>
    <w:p>
      <w:pPr>
        <w:pStyle w:val="EX"/>
        <w:rPr/>
      </w:pPr>
      <w:r>
        <w:rPr>
          <w:b/>
        </w:rPr>
        <w:t>shall not</w:t>
      </w:r>
      <w:r>
        <w:rPr/>
        <w:tab/>
        <w:t>indicates an interdiction (prohibition) to do something</w:t>
      </w:r>
    </w:p>
    <w:p>
      <w:pPr>
        <w:pStyle w:val="Normal"/>
        <w:rPr/>
      </w:pPr>
      <w:r>
        <w:rPr/>
        <w:t>The constructions "shall" and "shall not" are confined to the context of normative provisions, and do not appear in Technical Reports.</w:t>
      </w:r>
    </w:p>
    <w:p>
      <w:pPr>
        <w:pStyle w:val="Normal"/>
        <w:rPr/>
      </w:pPr>
      <w:r>
        <w:rPr/>
        <w:t>The constructions "must" and "must not" are not used as substitutes for "shall" and "shall not". Their use is avoided insofar as possible, and they are not used in a normative context except in a direct citation from an external, referenced, non-3GPP document, or so as to maintain continuity of style when extending or modifying the provisions of such a referenced document.</w:t>
      </w:r>
    </w:p>
    <w:p>
      <w:pPr>
        <w:pStyle w:val="EX"/>
        <w:rPr/>
      </w:pPr>
      <w:r>
        <w:rPr>
          <w:b/>
        </w:rPr>
        <w:t>should</w:t>
      </w:r>
      <w:r>
        <w:rPr/>
        <w:tab/>
        <w:tab/>
        <w:t>indicates a recommendation to do something</w:t>
      </w:r>
    </w:p>
    <w:p>
      <w:pPr>
        <w:pStyle w:val="EX"/>
        <w:rPr/>
      </w:pPr>
      <w:r>
        <w:rPr>
          <w:b/>
        </w:rPr>
        <w:t>should not</w:t>
      </w:r>
      <w:r>
        <w:rPr/>
        <w:tab/>
        <w:t>indicates a recommendation not to do something</w:t>
      </w:r>
    </w:p>
    <w:p>
      <w:pPr>
        <w:pStyle w:val="EX"/>
        <w:rPr/>
      </w:pPr>
      <w:r>
        <w:rPr>
          <w:b/>
        </w:rPr>
        <w:t>may</w:t>
      </w:r>
      <w:r>
        <w:rPr/>
        <w:tab/>
        <w:tab/>
        <w:t>indicates permission to do something</w:t>
      </w:r>
    </w:p>
    <w:p>
      <w:pPr>
        <w:pStyle w:val="EX"/>
        <w:rPr/>
      </w:pPr>
      <w:r>
        <w:rPr>
          <w:b/>
        </w:rPr>
        <w:t>need not</w:t>
      </w:r>
      <w:r>
        <w:rPr/>
        <w:tab/>
        <w:t>indicates permission not to do something</w:t>
      </w:r>
    </w:p>
    <w:p>
      <w:pPr>
        <w:pStyle w:val="Normal"/>
        <w:rPr/>
      </w:pPr>
      <w:r>
        <w:rPr/>
        <w:t>The construction "may not" is ambiguous and is not used in normative elements. The unambiguous constructions "might not" or "shall not" are used instead, depending upon the meaning intended.</w:t>
      </w:r>
    </w:p>
    <w:p>
      <w:pPr>
        <w:pStyle w:val="EX"/>
        <w:rPr/>
      </w:pPr>
      <w:r>
        <w:rPr>
          <w:b/>
        </w:rPr>
        <w:t>can</w:t>
      </w:r>
      <w:r>
        <w:rPr/>
        <w:tab/>
        <w:tab/>
        <w:t>indicates that something is possible</w:t>
      </w:r>
    </w:p>
    <w:p>
      <w:pPr>
        <w:pStyle w:val="EX"/>
        <w:rPr/>
      </w:pPr>
      <w:r>
        <w:rPr>
          <w:b/>
        </w:rPr>
        <w:t>cannot</w:t>
      </w:r>
      <w:r>
        <w:rPr/>
        <w:tab/>
        <w:tab/>
        <w:t>indicates that something is impossible</w:t>
      </w:r>
    </w:p>
    <w:p>
      <w:pPr>
        <w:pStyle w:val="Normal"/>
        <w:rPr/>
      </w:pPr>
      <w:r>
        <w:rPr/>
        <w:t>The constructions "can" and "cannot" are not substitutes for "may" and "need not".</w:t>
      </w:r>
    </w:p>
    <w:p>
      <w:pPr>
        <w:pStyle w:val="EX"/>
        <w:rPr/>
      </w:pPr>
      <w:r>
        <w:rPr>
          <w:b/>
        </w:rPr>
        <w:t>will</w:t>
      </w:r>
      <w:r>
        <w:rPr/>
        <w:tab/>
        <w:tab/>
        <w:t>indicates that something is certain or expected to happen as a result of action taken by an agency the behaviour of which is outside the scope of the present document</w:t>
      </w:r>
    </w:p>
    <w:p>
      <w:pPr>
        <w:pStyle w:val="EX"/>
        <w:rPr/>
      </w:pPr>
      <w:r>
        <w:rPr>
          <w:b/>
        </w:rPr>
        <w:t>will not</w:t>
      </w:r>
      <w:r>
        <w:rPr/>
        <w:tab/>
        <w:tab/>
        <w:t>indicates that something is certain or expected not to happen as a result of action taken by an agency the behaviour of which is outside the scope of the present document</w:t>
      </w:r>
    </w:p>
    <w:p>
      <w:pPr>
        <w:pStyle w:val="EX"/>
        <w:rPr/>
      </w:pPr>
      <w:r>
        <w:rPr>
          <w:b/>
        </w:rPr>
        <w:t>might</w:t>
      </w:r>
      <w:r>
        <w:rPr/>
        <w:tab/>
        <w:t>indicates a likelihood that something will happen as a result of action taken by some agency the behaviour of which is outside the scope of the present document</w:t>
      </w:r>
    </w:p>
    <w:p>
      <w:pPr>
        <w:pStyle w:val="EX"/>
        <w:rPr/>
      </w:pPr>
      <w:r>
        <w:rPr>
          <w:b/>
        </w:rPr>
        <w:t>might not</w:t>
      </w:r>
      <w:r>
        <w:rPr/>
        <w:tab/>
        <w:t>indicates a likelihood that something will not happen as a result of action taken by some agency the behaviour of which is outside the scope of the present document</w:t>
      </w:r>
    </w:p>
    <w:p>
      <w:pPr>
        <w:pStyle w:val="Normal"/>
        <w:rPr/>
      </w:pPr>
      <w:r>
        <w:rPr/>
        <w:t>In addition:</w:t>
      </w:r>
    </w:p>
    <w:p>
      <w:pPr>
        <w:pStyle w:val="EX"/>
        <w:rPr/>
      </w:pPr>
      <w:r>
        <w:rPr>
          <w:b/>
        </w:rPr>
        <w:t>is</w:t>
      </w:r>
      <w:r>
        <w:rPr/>
        <w:tab/>
        <w:t>(or any other verb in the indicative mood) indicates a statement of fact</w:t>
      </w:r>
    </w:p>
    <w:p>
      <w:pPr>
        <w:pStyle w:val="EX"/>
        <w:rPr/>
      </w:pPr>
      <w:r>
        <w:rPr>
          <w:b/>
        </w:rPr>
        <w:t>is not</w:t>
      </w:r>
      <w:r>
        <w:rPr/>
        <w:tab/>
        <w:t>(or any other negative verb in the indicative mood) indicates a statement of fact</w:t>
      </w:r>
    </w:p>
    <w:p>
      <w:pPr>
        <w:pStyle w:val="Normal"/>
        <w:rPr/>
      </w:pPr>
      <w:r>
        <w:rPr/>
        <w:t>The constructions "is" and "is not" do not indicate requirements.</w:t>
      </w:r>
      <w:r>
        <w:br w:type="page"/>
      </w:r>
    </w:p>
    <w:p>
      <w:pPr>
        <w:pStyle w:val="Heading1"/>
        <w:rPr/>
      </w:pPr>
      <w:bookmarkStart w:id="13" w:name="__RefHeading___Toc153454898"/>
      <w:bookmarkEnd w:id="13"/>
      <w:r>
        <w:rPr/>
        <w:t>1</w:t>
        <w:tab/>
        <w:t>Scope</w:t>
      </w:r>
    </w:p>
    <w:p>
      <w:pPr>
        <w:pStyle w:val="Normal"/>
        <w:rPr/>
      </w:pPr>
      <w:r>
        <w:rPr/>
        <w:t>The present document contains requirements and test cases that are specific to the UDM network product class. It refers to the Catalogue of General Security Assurance Requirements and formulates specific adaptions of the requirements and test cases. It also specifies the requirements and test cases unique to the UDM network product class.</w:t>
      </w:r>
    </w:p>
    <w:p>
      <w:pPr>
        <w:pStyle w:val="Heading1"/>
        <w:rPr/>
      </w:pPr>
      <w:bookmarkStart w:id="14" w:name="__RefHeading___Toc153454899"/>
      <w:bookmarkEnd w:id="14"/>
      <w:r>
        <w:rPr/>
        <w:t>2</w:t>
        <w:tab/>
        <w:t>References</w:t>
      </w:r>
    </w:p>
    <w:p>
      <w:pPr>
        <w:pStyle w:val="Normal"/>
        <w:rPr/>
      </w:pPr>
      <w:r>
        <w:rPr/>
        <w:t>The following documents contain provisions which, through reference in this text, constitute provisions of the present document.</w:t>
      </w:r>
    </w:p>
    <w:p>
      <w:pPr>
        <w:pStyle w:val="B1"/>
        <w:rPr/>
      </w:pPr>
      <w:bookmarkStart w:id="15" w:name="OLE_LINK4"/>
      <w:bookmarkStart w:id="16" w:name="OLE_LINK3"/>
      <w:bookmarkStart w:id="17" w:name="OLE_LINK2"/>
      <w:bookmarkStart w:id="18" w:name="OLE_LINK1"/>
      <w:bookmarkEnd w:id="15"/>
      <w:bookmarkEnd w:id="16"/>
      <w:bookmarkEnd w:id="17"/>
      <w:bookmarkEnd w:id="18"/>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bookmarkStart w:id="19" w:name="OLE_LINK4"/>
      <w:bookmarkStart w:id="20" w:name="OLE_LINK3"/>
      <w:bookmarkStart w:id="21" w:name="OLE_LINK2"/>
      <w:bookmarkStart w:id="22" w:name="OLE_LINK1"/>
      <w:bookmarkEnd w:id="19"/>
      <w:bookmarkEnd w:id="20"/>
      <w:bookmarkEnd w:id="21"/>
      <w:bookmarkEnd w:id="22"/>
      <w:r>
        <w:rPr/>
        <w:t>[1]</w:t>
        <w:tab/>
        <w:t>3GPP TR 21.905: "Vocabulary for 3GPP Specifications".</w:t>
      </w:r>
    </w:p>
    <w:p>
      <w:pPr>
        <w:pStyle w:val="EX"/>
        <w:rPr/>
      </w:pPr>
      <w:r>
        <w:rPr/>
        <w:t>[2]</w:t>
        <w:tab/>
        <w:t>3GPP TS 33.501: "Security architecture and procedures for 5G system".</w:t>
      </w:r>
    </w:p>
    <w:p>
      <w:pPr>
        <w:pStyle w:val="EX"/>
        <w:rPr/>
      </w:pPr>
      <w:r>
        <w:rPr/>
        <w:t>[3]</w:t>
        <w:tab/>
        <w:t>3GPP TS 33.117: "Catalogue of general security assurance requirements".</w:t>
      </w:r>
    </w:p>
    <w:p>
      <w:pPr>
        <w:pStyle w:val="EX"/>
        <w:rPr/>
      </w:pPr>
      <w:r>
        <w:rPr/>
        <w:t>[4]</w:t>
        <w:tab/>
        <w:t>3GPP TR 33.926 "Security Assurance Specification (SCAS) threats and critical assets in 3GPP network product classes".</w:t>
      </w:r>
    </w:p>
    <w:p>
      <w:pPr>
        <w:pStyle w:val="EX"/>
        <w:rPr/>
      </w:pPr>
      <w:r>
        <w:rPr/>
        <w:t>[5]</w:t>
        <w:tab/>
        <w:t>3GPP TS 23.501: "System Architecture for the 5G System (5GS)".</w:t>
      </w:r>
    </w:p>
    <w:p>
      <w:pPr>
        <w:pStyle w:val="EX"/>
        <w:rPr/>
      </w:pPr>
      <w:r>
        <w:rPr/>
        <w:t>[6]</w:t>
        <w:tab/>
        <w:t>3GPP TS 23.003: "Numbering, addressing and identification".</w:t>
      </w:r>
    </w:p>
    <w:p>
      <w:pPr>
        <w:pStyle w:val="EX"/>
        <w:rPr/>
      </w:pPr>
      <w:r>
        <w:rPr/>
        <w:t>[7]</w:t>
        <w:tab/>
        <w:t>3GPP TS 33.102: "3G security; Security architecture".</w:t>
      </w:r>
    </w:p>
    <w:p>
      <w:pPr>
        <w:pStyle w:val="EX"/>
        <w:rPr/>
      </w:pPr>
      <w:r>
        <w:rPr/>
        <w:t>[8]</w:t>
        <w:tab/>
        <w:t>SECG SEC 1: Recommended Elliptic Curve Cryptography, Version 2.0, 2009. Available http://www.secg.org/sec1-v2.pdf</w:t>
      </w:r>
    </w:p>
    <w:p>
      <w:pPr>
        <w:pStyle w:val="EX"/>
        <w:rPr/>
      </w:pPr>
      <w:r>
        <w:rPr/>
        <w:t>[9]</w:t>
        <w:tab/>
        <w:t>3GPP TS 29.503: "Unified Data Management Services".</w:t>
      </w:r>
    </w:p>
    <w:p>
      <w:pPr>
        <w:pStyle w:val="EX"/>
        <w:rPr/>
      </w:pPr>
      <w:r>
        <w:rPr/>
        <w:t>[10]</w:t>
        <w:tab/>
        <w:t>3GPP TR 33.916: "</w:t>
      </w:r>
      <w:r>
        <w:rPr>
          <w:lang w:eastAsia="zh-CN"/>
        </w:rPr>
        <w:t>Security Assurance Methodology (SECAM) for 3GPP network products</w:t>
      </w:r>
      <w:r>
        <w:rPr/>
        <w:t>".</w:t>
      </w:r>
    </w:p>
    <w:p>
      <w:pPr>
        <w:pStyle w:val="Heading1"/>
        <w:rPr/>
      </w:pPr>
      <w:bookmarkStart w:id="23" w:name="__RefHeading___Toc153454900"/>
      <w:bookmarkEnd w:id="23"/>
      <w:r>
        <w:rPr/>
        <w:t>3</w:t>
        <w:tab/>
        <w:t>Definitions of terms, symbols and abbreviations</w:t>
      </w:r>
    </w:p>
    <w:p>
      <w:pPr>
        <w:pStyle w:val="Heading2"/>
        <w:ind w:hanging="1134" w:left="1134"/>
        <w:rPr/>
      </w:pPr>
      <w:bookmarkStart w:id="24" w:name="__RefHeading___Toc153454901"/>
      <w:bookmarkEnd w:id="24"/>
      <w:r>
        <w:rPr/>
        <w:t>3.1</w:t>
        <w:tab/>
        <w:t>Terms</w:t>
      </w:r>
    </w:p>
    <w:p>
      <w:pPr>
        <w:pStyle w:val="Normal"/>
        <w:rPr/>
      </w:pPr>
      <w:r>
        <w:rPr/>
        <w:t xml:space="preserve">For the purposes of the present document, the terms given in </w:t>
      </w:r>
      <w:bookmarkStart w:id="25" w:name="OLE_LINK8"/>
      <w:bookmarkStart w:id="26" w:name="OLE_LINK7"/>
      <w:bookmarkStart w:id="27" w:name="OLE_LINK6"/>
      <w:r>
        <w:rPr/>
        <w:t xml:space="preserve">3GPP </w:t>
      </w:r>
      <w:bookmarkEnd w:id="25"/>
      <w:bookmarkEnd w:id="26"/>
      <w:bookmarkEnd w:id="27"/>
      <w:r>
        <w:rPr/>
        <w:t>TR 21.905 [1] and the following apply. A term defined in the present document takes precedence over the definition of the same term, if any, in 3GPP TR 21.905 [1].</w:t>
      </w:r>
    </w:p>
    <w:p>
      <w:pPr>
        <w:pStyle w:val="Normal"/>
        <w:rPr/>
      </w:pPr>
      <w:r>
        <w:rPr>
          <w:b/>
        </w:rPr>
        <w:t xml:space="preserve">Subscription Identifier: </w:t>
      </w:r>
      <w:r>
        <w:rPr/>
        <w:t>Defined in TS 33.501 [2] and in TS 23.003 [6].</w:t>
      </w:r>
    </w:p>
    <w:p>
      <w:pPr>
        <w:pStyle w:val="Normal"/>
        <w:rPr/>
      </w:pPr>
      <w:r>
        <w:rPr>
          <w:b/>
        </w:rPr>
        <w:t>Subscription Concealed Identifier:</w:t>
      </w:r>
      <w:r>
        <w:rPr/>
        <w:t xml:space="preserve"> Defined in TS 33.501 [2].</w:t>
      </w:r>
    </w:p>
    <w:p>
      <w:pPr>
        <w:pStyle w:val="Normal"/>
        <w:rPr/>
      </w:pPr>
      <w:r>
        <w:rPr>
          <w:b/>
        </w:rPr>
        <w:t xml:space="preserve">Subscription Identifier De-concealing Function: </w:t>
      </w:r>
      <w:r>
        <w:rPr/>
        <w:t>Defined in TS 33.501 [2].</w:t>
      </w:r>
    </w:p>
    <w:p>
      <w:pPr>
        <w:pStyle w:val="Normal"/>
        <w:rPr/>
      </w:pPr>
      <w:r>
        <w:rPr>
          <w:b/>
        </w:rPr>
        <w:t xml:space="preserve">Network Function: </w:t>
      </w:r>
      <w:r>
        <w:rPr>
          <w:bCs/>
        </w:rPr>
        <w:t>As defined in TS 23.501 [5].</w:t>
      </w:r>
    </w:p>
    <w:p>
      <w:pPr>
        <w:pStyle w:val="Normal"/>
        <w:rPr/>
      </w:pPr>
      <w:r>
        <w:rPr>
          <w:b/>
        </w:rPr>
        <w:t xml:space="preserve">Network Product: </w:t>
      </w:r>
      <w:r>
        <w:rPr>
          <w:bCs/>
        </w:rPr>
        <w:t>As defined in TR 33.916 [</w:t>
      </w:r>
      <w:r>
        <w:rPr/>
        <w:t>10</w:t>
      </w:r>
      <w:r>
        <w:rPr>
          <w:bCs/>
        </w:rPr>
        <w:t>].</w:t>
      </w:r>
    </w:p>
    <w:p>
      <w:pPr>
        <w:pStyle w:val="Normal"/>
        <w:rPr/>
      </w:pPr>
      <w:r>
        <w:rPr>
          <w:b/>
        </w:rPr>
        <w:t>Network Product Class:</w:t>
      </w:r>
      <w:r>
        <w:rPr>
          <w:bCs/>
        </w:rPr>
        <w:t xml:space="preserve"> As defined in TR 33.916 [</w:t>
      </w:r>
      <w:r>
        <w:rPr/>
        <w:t>10</w:t>
      </w:r>
      <w:r>
        <w:rPr>
          <w:bCs/>
        </w:rPr>
        <w:t>].</w:t>
      </w:r>
    </w:p>
    <w:p>
      <w:pPr>
        <w:pStyle w:val="Normal"/>
        <w:rPr>
          <w:bCs/>
        </w:rPr>
      </w:pPr>
      <w:r>
        <w:rPr>
          <w:b/>
        </w:rPr>
        <w:t>Pcap file:</w:t>
      </w:r>
      <w:r>
        <w:rPr>
          <w:bCs/>
        </w:rPr>
        <w:t xml:space="preserve"> A file format used to store network packet data captured from a network interface.</w:t>
      </w:r>
    </w:p>
    <w:p>
      <w:pPr>
        <w:pStyle w:val="Normal"/>
        <w:rPr>
          <w:b/>
        </w:rPr>
      </w:pPr>
      <w:r>
        <w:rPr>
          <w:b/>
          <w:bCs/>
          <w:lang w:eastAsia="ja-JP"/>
        </w:rPr>
        <w:t>Screenshot:</w:t>
      </w:r>
      <w:r>
        <w:rPr>
          <w:lang w:eastAsia="ja-JP"/>
        </w:rPr>
        <w:t xml:space="preserve"> A digital image that shows the contents of a display.</w:t>
      </w:r>
    </w:p>
    <w:p>
      <w:pPr>
        <w:pStyle w:val="Normal"/>
        <w:rPr/>
      </w:pPr>
      <w:r>
        <w:rPr>
          <w:b/>
          <w:bCs/>
          <w:lang w:eastAsia="ja-JP"/>
        </w:rPr>
        <w:t>Vulnerability:</w:t>
      </w:r>
      <w:r>
        <w:rPr>
          <w:lang w:eastAsia="ja-JP"/>
        </w:rPr>
        <w:t xml:space="preserve"> </w:t>
      </w:r>
      <w:r>
        <w:rPr>
          <w:bCs/>
        </w:rPr>
        <w:t>As defined in TR 33.916 [</w:t>
      </w:r>
      <w:r>
        <w:rPr/>
        <w:t>10</w:t>
      </w:r>
      <w:r>
        <w:rPr>
          <w:bCs/>
        </w:rPr>
        <w:t>].</w:t>
      </w:r>
    </w:p>
    <w:p>
      <w:pPr>
        <w:pStyle w:val="Heading2"/>
        <w:ind w:hanging="1134" w:left="1134"/>
        <w:rPr/>
      </w:pPr>
      <w:bookmarkStart w:id="28" w:name="__RefHeading___Toc153454902"/>
      <w:bookmarkEnd w:id="28"/>
      <w:r>
        <w:rPr/>
        <w:t>3.2</w:t>
        <w:tab/>
        <w:t>Symbols</w:t>
      </w:r>
    </w:p>
    <w:p>
      <w:pPr>
        <w:pStyle w:val="Normal"/>
        <w:rPr/>
      </w:pPr>
      <w:r>
        <w:rPr/>
        <w:t>Void.</w:t>
      </w:r>
    </w:p>
    <w:p>
      <w:pPr>
        <w:pStyle w:val="Heading2"/>
        <w:ind w:hanging="1134" w:left="1134"/>
        <w:rPr/>
      </w:pPr>
      <w:bookmarkStart w:id="29" w:name="__RefHeading___Toc153454903"/>
      <w:bookmarkEnd w:id="29"/>
      <w:r>
        <w:rPr/>
        <w:t>3.3</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lang w:eastAsia="zh-CN"/>
        </w:rPr>
      </w:pPr>
      <w:r>
        <w:rPr/>
        <w:t>5GS</w:t>
        <w:tab/>
        <w:t>5G System</w:t>
      </w:r>
    </w:p>
    <w:p>
      <w:pPr>
        <w:pStyle w:val="EW"/>
        <w:rPr/>
      </w:pPr>
      <w:r>
        <w:rPr/>
        <w:t>AMF</w:t>
        <w:tab/>
        <w:t>Access and Mobility Management Function</w:t>
      </w:r>
    </w:p>
    <w:p>
      <w:pPr>
        <w:pStyle w:val="EW"/>
        <w:rPr/>
      </w:pPr>
      <w:r>
        <w:rPr/>
        <w:t>AKA</w:t>
        <w:tab/>
        <w:t>Authentication and Key Agreement</w:t>
      </w:r>
    </w:p>
    <w:p>
      <w:pPr>
        <w:pStyle w:val="EW"/>
        <w:rPr/>
      </w:pPr>
      <w:r>
        <w:rPr/>
        <w:t>ARPF</w:t>
        <w:tab/>
        <w:t>Authentication credential Repository and Processing Function</w:t>
      </w:r>
    </w:p>
    <w:p>
      <w:pPr>
        <w:pStyle w:val="EW"/>
        <w:rPr/>
      </w:pPr>
      <w:r>
        <w:rPr/>
        <w:t>AUSF</w:t>
        <w:tab/>
        <w:t>Authentication Server Function</w:t>
      </w:r>
    </w:p>
    <w:p>
      <w:pPr>
        <w:pStyle w:val="EW"/>
        <w:rPr/>
      </w:pPr>
      <w:r>
        <w:rPr/>
        <w:t>AV</w:t>
        <w:tab/>
        <w:t>Authentication Vector</w:t>
      </w:r>
    </w:p>
    <w:p>
      <w:pPr>
        <w:pStyle w:val="EW"/>
        <w:rPr/>
      </w:pPr>
      <w:r>
        <w:rPr/>
        <w:t>EAP</w:t>
        <w:tab/>
        <w:t>Extensible Authentication Protocol</w:t>
      </w:r>
    </w:p>
    <w:p>
      <w:pPr>
        <w:pStyle w:val="EW"/>
        <w:rPr/>
      </w:pPr>
      <w:r>
        <w:rPr/>
        <w:t>JSON</w:t>
        <w:tab/>
        <w:t>Javascript Object Notation</w:t>
      </w:r>
    </w:p>
    <w:p>
      <w:pPr>
        <w:pStyle w:val="EW"/>
        <w:rPr/>
      </w:pPr>
      <w:r>
        <w:rPr/>
        <w:t>SBA</w:t>
        <w:tab/>
        <w:t>Service Based Architecture</w:t>
      </w:r>
    </w:p>
    <w:p>
      <w:pPr>
        <w:pStyle w:val="EW"/>
        <w:rPr/>
      </w:pPr>
      <w:r>
        <w:rPr/>
        <w:t>SBI</w:t>
        <w:tab/>
        <w:t>Service Based Interfaces</w:t>
      </w:r>
    </w:p>
    <w:p>
      <w:pPr>
        <w:pStyle w:val="EW"/>
        <w:rPr/>
      </w:pPr>
      <w:r>
        <w:rPr/>
        <w:t>SIDF</w:t>
        <w:tab/>
        <w:t xml:space="preserve">Subscription Identifier De-concealing Function </w:t>
      </w:r>
    </w:p>
    <w:p>
      <w:pPr>
        <w:pStyle w:val="EW"/>
        <w:rPr>
          <w:lang w:eastAsia="ko-KR"/>
        </w:rPr>
      </w:pPr>
      <w:r>
        <w:rPr>
          <w:lang w:eastAsia="ko-KR"/>
        </w:rPr>
        <w:t>SUCI</w:t>
        <w:tab/>
        <w:t>Subscription Concealed Identifier</w:t>
      </w:r>
    </w:p>
    <w:p>
      <w:pPr>
        <w:pStyle w:val="EW"/>
        <w:rPr/>
      </w:pPr>
      <w:r>
        <w:rPr/>
        <w:t>SUPI</w:t>
        <w:tab/>
        <w:t>Subscription Permanent Identifier</w:t>
      </w:r>
    </w:p>
    <w:p>
      <w:pPr>
        <w:pStyle w:val="EW"/>
        <w:rPr/>
      </w:pPr>
      <w:r>
        <w:rPr/>
        <w:t>TSC</w:t>
        <w:tab/>
        <w:t>Time Sensitive Communication</w:t>
      </w:r>
    </w:p>
    <w:p>
      <w:pPr>
        <w:pStyle w:val="EW"/>
        <w:rPr/>
      </w:pPr>
      <w:r>
        <w:rPr/>
        <w:t>UDM</w:t>
        <w:tab/>
        <w:t>Unified Data Management</w:t>
      </w:r>
    </w:p>
    <w:p>
      <w:pPr>
        <w:pStyle w:val="EX"/>
        <w:rPr/>
      </w:pPr>
      <w:r>
        <w:rPr/>
        <w:t>UDR</w:t>
        <w:tab/>
        <w:t>Unified Data Repository</w:t>
      </w:r>
    </w:p>
    <w:p>
      <w:pPr>
        <w:pStyle w:val="Heading1"/>
        <w:rPr/>
      </w:pPr>
      <w:bookmarkStart w:id="30" w:name="__RefHeading___Toc153454904"/>
      <w:bookmarkEnd w:id="30"/>
      <w:r>
        <w:rPr/>
        <w:t>4</w:t>
        <w:tab/>
        <w:t>UDM-specific security requirements and related test cases</w:t>
      </w:r>
    </w:p>
    <w:p>
      <w:pPr>
        <w:pStyle w:val="Heading2"/>
        <w:ind w:hanging="1134" w:left="1134"/>
        <w:rPr/>
      </w:pPr>
      <w:bookmarkStart w:id="31" w:name="__RefHeading___Toc153454905"/>
      <w:bookmarkEnd w:id="31"/>
      <w:r>
        <w:rPr/>
        <w:t>4.1</w:t>
        <w:tab/>
        <w:t>Introduction</w:t>
      </w:r>
    </w:p>
    <w:p>
      <w:pPr>
        <w:pStyle w:val="Normal"/>
        <w:rPr/>
      </w:pPr>
      <w:r>
        <w:rPr/>
        <w:t>UDM specific security requirements include both requirements derived from UDM specific security functional requirements in relevant specifications as well as security requirements introduced in the present document derived from the threats specific to UDM as described in TR 33.926 [4].</w:t>
      </w:r>
    </w:p>
    <w:p>
      <w:pPr>
        <w:pStyle w:val="Heading2"/>
        <w:ind w:hanging="1134" w:left="1134"/>
        <w:rPr/>
      </w:pPr>
      <w:bookmarkStart w:id="32" w:name="__RefHeading___Toc153454906"/>
      <w:bookmarkEnd w:id="32"/>
      <w:r>
        <w:rPr/>
        <w:t>4.2</w:t>
        <w:tab/>
        <w:t>Security functional requirements on the UDM derived from 3GPP specifications and related test cases</w:t>
      </w:r>
    </w:p>
    <w:p>
      <w:pPr>
        <w:pStyle w:val="Heading3"/>
        <w:ind w:hanging="1134" w:left="1134"/>
        <w:rPr>
          <w:rFonts w:eastAsia="SimSun;宋体"/>
        </w:rPr>
      </w:pPr>
      <w:bookmarkStart w:id="33" w:name="__RefHeading___Toc153454907"/>
      <w:bookmarkEnd w:id="33"/>
      <w:r>
        <w:rPr>
          <w:rFonts w:eastAsia="SimSun;宋体"/>
        </w:rPr>
        <w:t>4.2.0</w:t>
        <w:tab/>
        <w:t>General</w:t>
      </w:r>
    </w:p>
    <w:p>
      <w:pPr>
        <w:pStyle w:val="Normal"/>
        <w:rPr/>
      </w:pPr>
      <w:r>
        <w:rPr/>
        <w:t>The general approach in TS 33.117 [3] clause 4.2.2.1 and all the requirements and test cases in TS 33.117 [3] clause 4.2.2.2 related to SBA/SBI aspect apply to the UDM network product class.</w:t>
      </w:r>
    </w:p>
    <w:p>
      <w:pPr>
        <w:pStyle w:val="Heading3"/>
        <w:ind w:hanging="1134" w:left="1134"/>
        <w:rPr/>
      </w:pPr>
      <w:bookmarkStart w:id="34" w:name="__RefHeading___Toc153454908"/>
      <w:bookmarkEnd w:id="34"/>
      <w:r>
        <w:rPr/>
        <w:t>4.2.1</w:t>
        <w:tab/>
        <w:t>User Privacy Procedure</w:t>
      </w:r>
    </w:p>
    <w:p>
      <w:pPr>
        <w:pStyle w:val="Heading4"/>
        <w:rPr/>
      </w:pPr>
      <w:bookmarkStart w:id="35" w:name="__RefHeading___Toc153454909"/>
      <w:bookmarkEnd w:id="35"/>
      <w:r>
        <w:rPr/>
        <w:t>4.2.1.1</w:t>
        <w:tab/>
        <w:t>De-concealment of SUPI from the SUCI based on the protection scheme used to generate the SUCI</w:t>
      </w:r>
    </w:p>
    <w:p>
      <w:pPr>
        <w:pStyle w:val="Normal"/>
        <w:rPr/>
      </w:pPr>
      <w:r>
        <w:rPr>
          <w:i/>
        </w:rPr>
        <w:t>Requirement Name:</w:t>
      </w:r>
      <w:r>
        <w:rPr/>
        <w:t xml:space="preserve"> </w:t>
      </w:r>
      <w:r>
        <w:rPr>
          <w:lang w:eastAsia="ja-JP"/>
        </w:rPr>
        <w:t xml:space="preserve">De-concealment of SUPI from the SUCI based on the protection scheme used to generate the SUCI. </w:t>
      </w:r>
    </w:p>
    <w:p>
      <w:pPr>
        <w:pStyle w:val="Normal"/>
        <w:rPr/>
      </w:pPr>
      <w:r>
        <w:rPr>
          <w:i/>
        </w:rPr>
        <w:t>Requirement Reference:</w:t>
      </w:r>
      <w:r>
        <w:rPr/>
        <w:t xml:space="preserve"> TS 33.501 [2], clause 5.8.2.</w:t>
      </w:r>
    </w:p>
    <w:p>
      <w:pPr>
        <w:pStyle w:val="Normal"/>
        <w:rPr/>
      </w:pPr>
      <w:r>
        <w:rPr>
          <w:i/>
        </w:rPr>
        <w:t>Requirement Description:</w:t>
      </w:r>
      <w:r>
        <w:rPr/>
        <w:t xml:space="preserve"> The SIDF resolves the SUPI from the SUCI based on the protection scheme used to generate the SUCI as specified in TS 33.501 [2], clause 5.8.2. </w:t>
      </w:r>
    </w:p>
    <w:p>
      <w:pPr>
        <w:pStyle w:val="Normal"/>
        <w:rPr/>
      </w:pPr>
      <w:r>
        <w:rPr>
          <w:i/>
        </w:rPr>
        <w:t>Threat References</w:t>
      </w:r>
      <w:r>
        <w:rPr/>
        <w:t>: TR 33.926 [4], clause E.2.2.1, Incorrect SUCI de-concealment.</w:t>
      </w:r>
    </w:p>
    <w:p>
      <w:pPr>
        <w:pStyle w:val="Normal"/>
        <w:rPr>
          <w:b/>
        </w:rPr>
      </w:pPr>
      <w:r>
        <w:rPr>
          <w:b/>
        </w:rPr>
        <w:t>Test Case:</w:t>
      </w:r>
    </w:p>
    <w:p>
      <w:pPr>
        <w:pStyle w:val="Normal"/>
        <w:rPr/>
      </w:pPr>
      <w:r>
        <w:rPr>
          <w:b/>
        </w:rPr>
        <w:t xml:space="preserve">Test Name: </w:t>
      </w:r>
      <w:r>
        <w:rPr/>
        <w:t>TC_DE-CONCEAL_SUPI_from_SUCI_UDM</w:t>
      </w:r>
    </w:p>
    <w:p>
      <w:pPr>
        <w:pStyle w:val="Normal"/>
        <w:rPr>
          <w:b/>
          <w:bCs/>
        </w:rPr>
      </w:pPr>
      <w:r>
        <w:rPr>
          <w:b/>
          <w:bCs/>
        </w:rPr>
        <w:t>Purpose:</w:t>
      </w:r>
    </w:p>
    <w:p>
      <w:pPr>
        <w:pStyle w:val="Normal"/>
        <w:rPr/>
      </w:pPr>
      <w:r>
        <w:rPr/>
        <w:t>Verify that the SIDF De-conceals the SUPI from the SUCI based on the protection scheme used to generate the SUCI.</w:t>
      </w:r>
    </w:p>
    <w:p>
      <w:pPr>
        <w:pStyle w:val="Normal"/>
        <w:rPr>
          <w:b/>
          <w:bCs/>
          <w:lang w:eastAsia="zh-CN"/>
        </w:rPr>
      </w:pPr>
      <w:r>
        <w:rPr>
          <w:b/>
          <w:bCs/>
          <w:lang w:eastAsia="zh-CN"/>
        </w:rPr>
        <w:t>Procedure and execution steps:</w:t>
      </w:r>
    </w:p>
    <w:p>
      <w:pPr>
        <w:pStyle w:val="Normal"/>
        <w:rPr>
          <w:b/>
        </w:rPr>
      </w:pPr>
      <w:r>
        <w:rPr>
          <w:b/>
        </w:rPr>
        <w:t>Pre-Condition:</w:t>
      </w:r>
    </w:p>
    <w:p>
      <w:pPr>
        <w:pStyle w:val="B1"/>
        <w:rPr/>
      </w:pPr>
      <w:r>
        <w:rPr/>
        <w:t>-</w:t>
        <w:tab/>
        <w:t>UDM network product is connected in simulated/real network environment including an AUSF and AMF.</w:t>
      </w:r>
    </w:p>
    <w:p>
      <w:pPr>
        <w:pStyle w:val="B1"/>
        <w:rPr/>
      </w:pPr>
      <w:r>
        <w:rPr/>
        <w:t>-</w:t>
        <w:tab/>
        <w:t>Tester shall have access to the subscription data stored in UDR.</w:t>
      </w:r>
    </w:p>
    <w:p>
      <w:pPr>
        <w:pStyle w:val="B1"/>
        <w:rPr/>
      </w:pPr>
      <w:r>
        <w:rPr/>
        <w:t>-</w:t>
        <w:tab/>
        <w:t>Tester shall record the SUPI from the UE.</w:t>
      </w:r>
    </w:p>
    <w:p>
      <w:pPr>
        <w:pStyle w:val="Normal"/>
        <w:rPr>
          <w:b/>
        </w:rPr>
      </w:pPr>
      <w:r>
        <w:rPr>
          <w:b/>
        </w:rPr>
        <w:t>Execution Steps:</w:t>
      </w:r>
    </w:p>
    <w:p>
      <w:pPr>
        <w:pStyle w:val="Normal"/>
        <w:rPr/>
      </w:pPr>
      <w:r>
        <w:rPr/>
        <w:t xml:space="preserve">Tester shall capture the entire authentication procedure between UE and AMF over N1, N12 and N13 interface using any network analyser. </w:t>
      </w:r>
    </w:p>
    <w:p>
      <w:pPr>
        <w:pStyle w:val="B1"/>
        <w:rPr/>
      </w:pPr>
      <w:r>
        <w:rPr/>
        <w:t>1.</w:t>
        <w:tab/>
        <w:t>Tester shall filter the Nudm_UEAuthentication_Get Response message sent from UDM to AUSF over N13 interface containing the SUPI.</w:t>
      </w:r>
    </w:p>
    <w:p>
      <w:pPr>
        <w:pStyle w:val="B1"/>
        <w:rPr/>
      </w:pPr>
      <w:r>
        <w:rPr/>
        <w:t>2.</w:t>
        <w:tab/>
        <w:t xml:space="preserve">Tester shall compare the SUPI </w:t>
      </w:r>
      <w:r>
        <w:rPr>
          <w:rFonts w:eastAsia="SimSun;宋体"/>
          <w:lang w:eastAsia="zh-CN"/>
        </w:rPr>
        <w:t xml:space="preserve">gotten </w:t>
      </w:r>
      <w:r>
        <w:rPr/>
        <w:t>from UE and the SUPI retrieved from Nudm_UEAuthentication_Get Response message.</w:t>
      </w:r>
    </w:p>
    <w:p>
      <w:pPr>
        <w:pStyle w:val="NO"/>
        <w:rPr/>
      </w:pPr>
      <w:r>
        <w:rPr/>
        <w:t>NOTE:</w:t>
        <w:tab/>
        <w:t>The tester may filter the Nausf_UEAutentication_Authenticate Response message sent from the UDM/AUSF to the AMF over N12 interface containing the SUPI, if the UDM and AUSF network products are collocated without an open N13 interface.</w:t>
      </w:r>
    </w:p>
    <w:p>
      <w:pPr>
        <w:pStyle w:val="Normal"/>
        <w:rPr>
          <w:b/>
        </w:rPr>
      </w:pPr>
      <w:r>
        <w:rPr>
          <w:b/>
        </w:rPr>
        <w:t>Expected Results:</w:t>
      </w:r>
    </w:p>
    <w:p>
      <w:pPr>
        <w:pStyle w:val="Normal"/>
        <w:rPr/>
      </w:pPr>
      <w:r>
        <w:rPr/>
        <w:t>SIDF resolves the SUPI from the SUCI based on the protection scheme used to generate the SUCI.</w:t>
      </w:r>
    </w:p>
    <w:p>
      <w:pPr>
        <w:pStyle w:val="Normal"/>
        <w:rPr>
          <w:b/>
        </w:rPr>
      </w:pPr>
      <w:r>
        <w:rPr>
          <w:b/>
        </w:rPr>
        <w:t>Expected format of evidence:</w:t>
      </w:r>
    </w:p>
    <w:p>
      <w:pPr>
        <w:pStyle w:val="Normal"/>
        <w:rPr/>
      </w:pPr>
      <w:r>
        <w:rPr/>
        <w:t>Evidence suitable for the interface, e.g., evidence can be presented in the form of screenshot/screen-capture.</w:t>
      </w:r>
    </w:p>
    <w:p>
      <w:pPr>
        <w:pStyle w:val="Heading4"/>
        <w:rPr/>
      </w:pPr>
      <w:bookmarkStart w:id="36" w:name="__RefHeading___Toc153454910"/>
      <w:bookmarkEnd w:id="36"/>
      <w:r>
        <w:rPr/>
        <w:t>4.2.1.2</w:t>
        <w:tab/>
        <w:t>Rejection of SUCIs using an ECIES protection scheme with an invalid public key.</w:t>
      </w:r>
    </w:p>
    <w:p>
      <w:pPr>
        <w:pStyle w:val="Normal"/>
        <w:rPr/>
      </w:pPr>
      <w:r>
        <w:rPr>
          <w:i/>
        </w:rPr>
        <w:t>Requirement Name:</w:t>
      </w:r>
      <w:r>
        <w:rPr/>
        <w:t xml:space="preserve"> Rejection of SUCIs using an ECIES protection scheme with an invalid public key.</w:t>
      </w:r>
      <w:r>
        <w:rPr>
          <w:lang w:eastAsia="ja-JP"/>
        </w:rPr>
        <w:t xml:space="preserve"> </w:t>
      </w:r>
    </w:p>
    <w:p>
      <w:pPr>
        <w:pStyle w:val="Normal"/>
        <w:rPr/>
      </w:pPr>
      <w:r>
        <w:rPr>
          <w:i/>
        </w:rPr>
        <w:t>Requirement Reference:</w:t>
      </w:r>
      <w:r>
        <w:rPr/>
        <w:t xml:space="preserve"> TS 33.501 [2], clause C.3.3 with reference to SECG SEC 1 [8] clause 2.3.4.</w:t>
      </w:r>
    </w:p>
    <w:p>
      <w:pPr>
        <w:pStyle w:val="Normal"/>
        <w:rPr/>
      </w:pPr>
      <w:r>
        <w:rPr>
          <w:i/>
        </w:rPr>
        <w:t>Requirement Description:</w:t>
      </w:r>
      <w:r>
        <w:rPr/>
        <w:t xml:space="preserve"> Output: An elliptic curve point P, or "invalid" as specified [8], clause 2.3.4.</w:t>
      </w:r>
    </w:p>
    <w:p>
      <w:pPr>
        <w:pStyle w:val="Normal"/>
        <w:rPr/>
      </w:pPr>
      <w:r>
        <w:rPr>
          <w:i/>
        </w:rPr>
        <w:t>Threat References</w:t>
      </w:r>
      <w:r>
        <w:rPr/>
        <w:t>: TR 33.926 [4], clause E.2.2.6, Invalid public key.</w:t>
      </w:r>
    </w:p>
    <w:p>
      <w:pPr>
        <w:pStyle w:val="Normal"/>
        <w:rPr>
          <w:b/>
        </w:rPr>
      </w:pPr>
      <w:r>
        <w:rPr>
          <w:bCs/>
          <w:i/>
          <w:iCs/>
        </w:rPr>
        <w:t>Test Case:</w:t>
      </w:r>
    </w:p>
    <w:p>
      <w:pPr>
        <w:pStyle w:val="Normal"/>
        <w:rPr/>
      </w:pPr>
      <w:r>
        <w:rPr>
          <w:b/>
        </w:rPr>
        <w:t>Test Name</w:t>
      </w:r>
      <w:r>
        <w:rPr>
          <w:bCs/>
        </w:rPr>
        <w:t>: T</w:t>
      </w:r>
      <w:r>
        <w:rPr/>
        <w:t>C_REJECT_SUCI_PROFILE_B_INVALID_PUBKEY_UDM</w:t>
      </w:r>
    </w:p>
    <w:p>
      <w:pPr>
        <w:pStyle w:val="Normal"/>
        <w:rPr>
          <w:b/>
        </w:rPr>
      </w:pPr>
      <w:r>
        <w:rPr>
          <w:b/>
        </w:rPr>
        <w:t>Purpose:</w:t>
      </w:r>
    </w:p>
    <w:p>
      <w:pPr>
        <w:pStyle w:val="Normal"/>
        <w:rPr/>
      </w:pPr>
      <w:r>
        <w:rPr/>
        <w:t>Verify that the SIDF rejects the SUCI if it uses an ECIES protection scheme and contains an invalid point as the UE’s public key for Profile B.</w:t>
      </w:r>
    </w:p>
    <w:p>
      <w:pPr>
        <w:pStyle w:val="Normal"/>
        <w:keepNext w:val="true"/>
        <w:keepLines/>
        <w:spacing w:before="180" w:after="180"/>
        <w:rPr>
          <w:b/>
          <w:lang w:eastAsia="zh-CN"/>
        </w:rPr>
      </w:pPr>
      <w:r>
        <w:rPr>
          <w:b/>
          <w:lang w:eastAsia="zh-CN"/>
        </w:rPr>
        <w:t>Procedure and execution steps:</w:t>
      </w:r>
    </w:p>
    <w:p>
      <w:pPr>
        <w:pStyle w:val="Normal"/>
        <w:rPr>
          <w:b/>
        </w:rPr>
      </w:pPr>
      <w:r>
        <w:rPr>
          <w:b/>
        </w:rPr>
        <w:t>Pre-Condition:</w:t>
      </w:r>
    </w:p>
    <w:p>
      <w:pPr>
        <w:pStyle w:val="B1"/>
        <w:rPr/>
      </w:pPr>
      <w:r>
        <w:rPr/>
        <w:t>-</w:t>
        <w:tab/>
        <w:t>The tester has access to the public information of the SUCI profile (e.g., profile type, public key …) of the UDM/SIDF under test.</w:t>
      </w:r>
    </w:p>
    <w:p>
      <w:pPr>
        <w:pStyle w:val="B1"/>
        <w:rPr/>
      </w:pPr>
      <w:r>
        <w:rPr/>
        <w:t>-</w:t>
        <w:tab/>
        <w:t xml:space="preserve">The tester has configured the UDM to use Profile B. </w:t>
      </w:r>
    </w:p>
    <w:p>
      <w:pPr>
        <w:pStyle w:val="B1"/>
        <w:ind w:firstLine="284" w:left="0" w:right="0"/>
        <w:rPr/>
      </w:pPr>
      <w:r>
        <w:rPr/>
        <w:t>-</w:t>
        <w:tab/>
        <w:t>The tester has access to a SUPI of provisioned subscriber.</w:t>
      </w:r>
    </w:p>
    <w:p>
      <w:pPr>
        <w:pStyle w:val="Normal"/>
        <w:rPr>
          <w:b/>
        </w:rPr>
      </w:pPr>
      <w:r>
        <w:rPr>
          <w:b/>
        </w:rPr>
        <w:t>Execution Steps</w:t>
      </w:r>
    </w:p>
    <w:p>
      <w:pPr>
        <w:pStyle w:val="B1"/>
        <w:rPr>
          <w:b/>
        </w:rPr>
      </w:pPr>
      <w:r>
        <w:rPr/>
        <w:t>1.</w:t>
        <w:tab/>
        <w:t>The tester selects an invalid point (NOTE 1) and uses the point as a public key to encrypt the SUPI based on the encryption defined in Annex C of 33.501 [2] and SECG SEC 1 [8] (NOTE 2).</w:t>
      </w:r>
    </w:p>
    <w:p>
      <w:pPr>
        <w:pStyle w:val="B1"/>
        <w:rPr/>
      </w:pPr>
      <w:r>
        <w:rPr/>
        <w:t>2.</w:t>
        <w:tab/>
        <w:t>The tester sends the SUCI to the Nudm_UEAuthentication_Get service of the UDM/ SIDF under test.</w:t>
      </w:r>
    </w:p>
    <w:p>
      <w:pPr>
        <w:pStyle w:val="NO"/>
        <w:rPr/>
      </w:pPr>
      <w:r>
        <w:rPr/>
        <w:t xml:space="preserve">NOTE 1: </w:t>
        <w:tab/>
        <w:t>An example invalid point for Profile B (of order 47) is: 0x049af0190d4e237c462c94c447052c770f6d348866f1dbbe29a0ee889f18835d6a973457a6730323716ef2c8a3723793be64b54cec40eb86ab194057c95baf8cfe.</w:t>
      </w:r>
    </w:p>
    <w:p>
      <w:pPr>
        <w:pStyle w:val="NO"/>
        <w:rPr/>
      </w:pPr>
      <w:r>
        <w:rPr/>
        <w:t xml:space="preserve">NOTE 2: </w:t>
        <w:tab/>
        <w:t>An example SUCI encrypted with the invalid point (above) for the MCC|MNC (274012) and MSIN (001002086) for Profile B (Annex C of 33.501 [2]) is:  suci-0-274-012-0-2-2-049af0190d4e237c462c94c447052c770f6d348866f1dbbe29a0ee889f18835d6a973457a6730323716ef2c8a3723793be64b54cec40eb86ab194057c95baf8cfe8cf9a0959454b74e31a331018b.</w:t>
      </w:r>
    </w:p>
    <w:p>
      <w:pPr>
        <w:pStyle w:val="Normal"/>
        <w:rPr>
          <w:b/>
          <w:bCs/>
        </w:rPr>
      </w:pPr>
      <w:r>
        <w:rPr>
          <w:b/>
          <w:bCs/>
        </w:rPr>
        <w:t>Expected Results:</w:t>
      </w:r>
    </w:p>
    <w:p>
      <w:pPr>
        <w:pStyle w:val="Normal"/>
        <w:rPr/>
      </w:pPr>
      <w:r>
        <w:rPr/>
        <w:t>The UDM/SIDF rejects the SUCI, and the UDM sends a Nudm_UEAuthentication_Get Response message with an HTTP status code "403 Forbidden" and may include additional error information in the response body (in "ProblemDetails" element) as specified in TS 29.503 [9], clause 5.4.2.2.2, 2b.</w:t>
      </w:r>
    </w:p>
    <w:p>
      <w:pPr>
        <w:pStyle w:val="NO"/>
        <w:rPr/>
      </w:pPr>
      <w:r>
        <w:rPr/>
        <w:t xml:space="preserve">NOTE 3:  </w:t>
        <w:tab/>
        <w:t>Values for "ProblemDetails" may be AUTHENTICATION_REJECTED or INVALID_SCHEME_OUTPUT as specified in TS 29.503 [9], clause 6.3.3.2.4.2.2-2.</w:t>
      </w:r>
    </w:p>
    <w:p>
      <w:pPr>
        <w:pStyle w:val="Normal"/>
        <w:rPr>
          <w:b/>
        </w:rPr>
      </w:pPr>
      <w:r>
        <w:rPr>
          <w:b/>
        </w:rPr>
        <w:t>Expected format of evidence:</w:t>
      </w:r>
    </w:p>
    <w:p>
      <w:pPr>
        <w:pStyle w:val="Normal"/>
        <w:rPr/>
      </w:pPr>
      <w:r>
        <w:rPr/>
        <w:t>Evidence suitable for the interface, e.g., evidence can be presented in the form of packet trace (e.g., pcap file).</w:t>
      </w:r>
    </w:p>
    <w:p>
      <w:pPr>
        <w:pStyle w:val="Heading4"/>
        <w:ind w:hanging="0" w:left="0" w:right="0"/>
        <w:rPr/>
      </w:pPr>
      <w:bookmarkStart w:id="37" w:name="__RefHeading___Toc153454911"/>
      <w:bookmarkEnd w:id="37"/>
      <w:r>
        <w:rPr/>
        <w:t>4.2.1.3</w:t>
        <w:tab/>
        <w:t>Rejection of SUCIs using an uncompressed point with Profile B.</w:t>
      </w:r>
    </w:p>
    <w:p>
      <w:pPr>
        <w:pStyle w:val="Normal"/>
        <w:rPr/>
      </w:pPr>
      <w:r>
        <w:rPr>
          <w:i/>
        </w:rPr>
        <w:t>Requirement Name:</w:t>
      </w:r>
      <w:r>
        <w:rPr/>
        <w:t xml:space="preserve"> Rejection of SUCIs using an uncompressed point with Profile B.</w:t>
      </w:r>
      <w:r>
        <w:rPr>
          <w:lang w:eastAsia="ja-JP"/>
        </w:rPr>
        <w:t xml:space="preserve"> </w:t>
      </w:r>
    </w:p>
    <w:p>
      <w:pPr>
        <w:pStyle w:val="Normal"/>
        <w:rPr/>
      </w:pPr>
      <w:r>
        <w:rPr>
          <w:i/>
        </w:rPr>
        <w:t>Requirement Reference:</w:t>
      </w:r>
      <w:r>
        <w:rPr/>
        <w:t xml:space="preserve"> TS 33.501 [2], clause C.3.4.0.</w:t>
      </w:r>
    </w:p>
    <w:p>
      <w:pPr>
        <w:pStyle w:val="Normal"/>
        <w:rPr/>
      </w:pPr>
      <w:r>
        <w:rPr>
          <w:i/>
        </w:rPr>
        <w:t>Requirement Description:</w:t>
      </w:r>
      <w:r>
        <w:rPr/>
        <w:t xml:space="preserve"> Profile B shall use point compression to save overhead as specified in TS 33.501 [2], clause C.3.4.0. </w:t>
      </w:r>
    </w:p>
    <w:p>
      <w:pPr>
        <w:pStyle w:val="Normal"/>
        <w:rPr/>
      </w:pPr>
      <w:r>
        <w:rPr>
          <w:i/>
        </w:rPr>
        <w:t>Threat References</w:t>
      </w:r>
      <w:r>
        <w:rPr/>
        <w:t>: TR 33.926 [4], clause E.2.2.6, Invalid public key.</w:t>
      </w:r>
    </w:p>
    <w:p>
      <w:pPr>
        <w:pStyle w:val="Normal"/>
        <w:rPr>
          <w:b/>
        </w:rPr>
      </w:pPr>
      <w:r>
        <w:rPr>
          <w:bCs/>
          <w:i/>
          <w:iCs/>
        </w:rPr>
        <w:t>Test Case:</w:t>
      </w:r>
    </w:p>
    <w:p>
      <w:pPr>
        <w:pStyle w:val="Normal"/>
        <w:rPr/>
      </w:pPr>
      <w:r>
        <w:rPr>
          <w:b/>
        </w:rPr>
        <w:t xml:space="preserve">Test Name: </w:t>
      </w:r>
      <w:r>
        <w:rPr/>
        <w:t>TC_REJECT_SUCI_PROFILE_B_NO_COMPRESSION_UDM</w:t>
      </w:r>
    </w:p>
    <w:p>
      <w:pPr>
        <w:pStyle w:val="Normal"/>
        <w:rPr>
          <w:b/>
        </w:rPr>
      </w:pPr>
      <w:r>
        <w:rPr>
          <w:b/>
        </w:rPr>
        <w:t>Purpose:</w:t>
      </w:r>
    </w:p>
    <w:p>
      <w:pPr>
        <w:pStyle w:val="Normal"/>
        <w:rPr/>
      </w:pPr>
      <w:r>
        <w:rPr/>
        <w:t>Verify that the SIDF rejects the SUCI if it uses the ECIES Profile B protection scheme and contains an uncompressed point as the UE's public key.</w:t>
      </w:r>
    </w:p>
    <w:p>
      <w:pPr>
        <w:pStyle w:val="Normal"/>
        <w:rPr>
          <w:b/>
          <w:lang w:eastAsia="zh-CN"/>
        </w:rPr>
      </w:pPr>
      <w:r>
        <w:rPr>
          <w:b/>
          <w:lang w:eastAsia="zh-CN"/>
        </w:rPr>
        <w:t>Procedure and execution steps:</w:t>
      </w:r>
    </w:p>
    <w:p>
      <w:pPr>
        <w:pStyle w:val="Normal"/>
        <w:rPr>
          <w:b/>
        </w:rPr>
      </w:pPr>
      <w:r>
        <w:rPr>
          <w:b/>
        </w:rPr>
        <w:t>Pre-Condition:</w:t>
      </w:r>
    </w:p>
    <w:p>
      <w:pPr>
        <w:pStyle w:val="Normal"/>
        <w:rPr/>
      </w:pPr>
      <w:r>
        <w:rPr/>
        <w:t>Tester shall have access to the HN’s public key for SUCI decryption with Profile B.</w:t>
      </w:r>
    </w:p>
    <w:p>
      <w:pPr>
        <w:pStyle w:val="B1"/>
        <w:ind w:hanging="0" w:left="0" w:right="0"/>
        <w:rPr>
          <w:b/>
        </w:rPr>
      </w:pPr>
      <w:r>
        <w:rPr>
          <w:b/>
        </w:rPr>
        <w:t>Execution Steps</w:t>
      </w:r>
    </w:p>
    <w:p>
      <w:pPr>
        <w:pStyle w:val="B1"/>
        <w:rPr/>
      </w:pPr>
      <w:r>
        <w:rPr/>
        <w:t>1.</w:t>
        <w:tab/>
        <w:t>The tester shall generate a SUCI for a registered SUPI with the protection scheme output for Profile B. Theephemeral public key of the UE should be in the uncompressed point format specified in [x] clause 2.3.3. The remaining parts of the protection scheme output retain their format [x].</w:t>
      </w:r>
    </w:p>
    <w:p>
      <w:pPr>
        <w:pStyle w:val="NO"/>
        <w:rPr/>
      </w:pPr>
      <w:r>
        <w:rPr/>
        <w:t xml:space="preserve">NOTE 1: </w:t>
        <w:tab/>
        <w:t>The uncompressed point format shall have a size of 65 bytes, and the most significant byte shall be 0x04. The compressed point format shall have a size of 33 bytes, with 0x02 or 0x03 as the most significant byte. Test data in TS 33.501 [2], clause C.4.4.1.</w:t>
      </w:r>
    </w:p>
    <w:p>
      <w:pPr>
        <w:pStyle w:val="B1"/>
        <w:rPr/>
      </w:pPr>
      <w:r>
        <w:rPr/>
        <w:t>2.</w:t>
        <w:tab/>
        <w:t>The tester shall send the SUCI to the Nudm_UEAuthentication_Get service of the UDM/ SIDF under test.</w:t>
      </w:r>
    </w:p>
    <w:p>
      <w:pPr>
        <w:pStyle w:val="Normal"/>
        <w:rPr>
          <w:b/>
          <w:bCs/>
        </w:rPr>
      </w:pPr>
      <w:r>
        <w:rPr>
          <w:b/>
          <w:bCs/>
        </w:rPr>
        <w:t>Expected Results:</w:t>
      </w:r>
    </w:p>
    <w:p>
      <w:pPr>
        <w:pStyle w:val="Normal"/>
        <w:rPr/>
      </w:pPr>
      <w:r>
        <w:rPr/>
        <w:t>The SIDF rejects the SUCI, and the UDM sends a Nudm_UEAuthentication_Get Response message with an HTTP status code "403 Forbidden" and may include additional error information in the response body (in "ProblemDetails" element) as specified in TS 29.503 [9], clause 5.4.2.2.2, 2b.</w:t>
      </w:r>
    </w:p>
    <w:p>
      <w:pPr>
        <w:pStyle w:val="NO"/>
        <w:rPr/>
      </w:pPr>
      <w:r>
        <w:rPr/>
        <w:t>NOTE 2:  Values for "ProblemDetails" may be AUTHENTICATION_REJECTED or INVALID_SCHEME_OUTPUT as specified in TS 29.503 [9], clause 6.3.3.2.4.2.2-2.</w:t>
      </w:r>
    </w:p>
    <w:p>
      <w:pPr>
        <w:pStyle w:val="Normal"/>
        <w:rPr>
          <w:b/>
        </w:rPr>
      </w:pPr>
      <w:r>
        <w:rPr>
          <w:b/>
        </w:rPr>
        <w:t>Expected format of evidence:</w:t>
      </w:r>
    </w:p>
    <w:p>
      <w:pPr>
        <w:pStyle w:val="Normal"/>
        <w:rPr/>
      </w:pPr>
      <w:r>
        <w:rPr/>
        <w:t>Evidence suitable for the interface, e.g., evidence can be presented in the form of packet trace (e.g., pcap file).</w:t>
      </w:r>
    </w:p>
    <w:p>
      <w:pPr>
        <w:pStyle w:val="Heading3"/>
        <w:ind w:hanging="1134" w:left="1134"/>
        <w:rPr/>
      </w:pPr>
      <w:bookmarkStart w:id="38" w:name="__RefHeading___Toc153454912"/>
      <w:bookmarkEnd w:id="38"/>
      <w:r>
        <w:rPr/>
        <w:t>4.2.2</w:t>
        <w:tab/>
        <w:t>Authentication and key agreement procedure</w:t>
      </w:r>
    </w:p>
    <w:p>
      <w:pPr>
        <w:pStyle w:val="Heading4"/>
        <w:rPr/>
      </w:pPr>
      <w:bookmarkStart w:id="39" w:name="__RefHeading___Toc153454913"/>
      <w:bookmarkEnd w:id="39"/>
      <w:r>
        <w:rPr/>
        <w:t>4.2.2.1</w:t>
        <w:tab/>
        <w:t>Synchronization failure handling</w:t>
      </w:r>
    </w:p>
    <w:p>
      <w:pPr>
        <w:pStyle w:val="Normal"/>
        <w:rPr>
          <w:lang w:eastAsia="zh-CN"/>
        </w:rPr>
      </w:pPr>
      <w:r>
        <w:rPr>
          <w:i/>
        </w:rPr>
        <w:t>Requirement Name</w:t>
      </w:r>
      <w:r>
        <w:rPr/>
        <w:t>: Synchronization failure handling</w:t>
      </w:r>
    </w:p>
    <w:p>
      <w:pPr>
        <w:pStyle w:val="Normal"/>
        <w:rPr/>
      </w:pPr>
      <w:r>
        <w:rPr>
          <w:i/>
        </w:rPr>
        <w:t xml:space="preserve">Requirement Reference: </w:t>
      </w:r>
      <w:r>
        <w:rPr/>
        <w:t>TS 33.501 [2], clause 6.1.3.3.2.</w:t>
      </w:r>
    </w:p>
    <w:p>
      <w:pPr>
        <w:pStyle w:val="Normal"/>
        <w:rPr/>
      </w:pPr>
      <w:r>
        <w:rPr>
          <w:i/>
        </w:rPr>
        <w:t>Requirement Description</w:t>
      </w:r>
      <w:r>
        <w:rPr/>
        <w:t xml:space="preserve">: When the UDM/ARPF receives an Nudm_UEAuthentication_Get Request message with a "synchronisation failure indication" it acts as described in TS 33.102 [7], clause 6.3.5 where ARPF is mapped to HE/AuC. The UDM/ARPF sends an Nudm_UEAuthentication_Get Response message with a new authentication vector for either EAP-AKA' or 5G-AKA depending on the authentication method applicable for the user to the AUSF </w:t>
      </w:r>
      <w:r>
        <w:rPr>
          <w:lang w:eastAsia="zh-CN"/>
        </w:rPr>
        <w:t xml:space="preserve">as specified in </w:t>
      </w:r>
      <w:r>
        <w:rPr/>
        <w:t>TS 33.501 [2], clause 6.1.3.3.2.</w:t>
      </w:r>
    </w:p>
    <w:p>
      <w:pPr>
        <w:pStyle w:val="Normal"/>
        <w:rPr/>
      </w:pPr>
      <w:r>
        <w:rPr>
          <w:i/>
        </w:rPr>
        <w:t>Threat References</w:t>
      </w:r>
      <w:r>
        <w:rPr/>
        <w:t>: TR 33.926 [4], clause E.2.2.2, Synchronization failure.</w:t>
      </w:r>
    </w:p>
    <w:p>
      <w:pPr>
        <w:pStyle w:val="Normal"/>
        <w:rPr/>
      </w:pPr>
      <w:r>
        <w:rPr>
          <w:i/>
        </w:rPr>
        <w:t>Test Case</w:t>
      </w:r>
      <w:r>
        <w:rPr/>
        <w:t xml:space="preserve">: </w:t>
      </w:r>
    </w:p>
    <w:p>
      <w:pPr>
        <w:pStyle w:val="Normal"/>
        <w:rPr>
          <w:b/>
          <w:lang w:eastAsia="zh-CN"/>
        </w:rPr>
      </w:pPr>
      <w:r>
        <w:rPr/>
        <w:t>Test Name: TC_SYNC_FAILURE_HANDLING_UDM</w:t>
      </w:r>
    </w:p>
    <w:p>
      <w:pPr>
        <w:pStyle w:val="Normal"/>
        <w:rPr>
          <w:b/>
          <w:lang w:eastAsia="zh-CN"/>
        </w:rPr>
      </w:pPr>
      <w:r>
        <w:rPr>
          <w:b/>
          <w:lang w:eastAsia="zh-CN"/>
        </w:rPr>
        <w:t>Purpose:</w:t>
      </w:r>
    </w:p>
    <w:p>
      <w:pPr>
        <w:pStyle w:val="Normal"/>
        <w:rPr/>
      </w:pPr>
      <w:r>
        <w:rPr>
          <w:lang w:eastAsia="zh-CN"/>
        </w:rPr>
        <w:t xml:space="preserve">Verify that </w:t>
      </w:r>
      <w:r>
        <w:rPr/>
        <w:t>synchronization failure is recovered correctly in the home network</w:t>
      </w:r>
      <w:r>
        <w:rPr>
          <w:lang w:eastAsia="zh-CN"/>
        </w:rPr>
        <w:t xml:space="preserve">. </w:t>
      </w:r>
    </w:p>
    <w:p>
      <w:pPr>
        <w:pStyle w:val="Normal"/>
        <w:rPr>
          <w:b/>
          <w:lang w:eastAsia="zh-CN"/>
        </w:rPr>
      </w:pPr>
      <w:r>
        <w:rPr>
          <w:b/>
          <w:lang w:eastAsia="zh-CN"/>
        </w:rPr>
        <w:t>Pre-Conditions:</w:t>
      </w:r>
    </w:p>
    <w:p>
      <w:pPr>
        <w:pStyle w:val="Normal"/>
        <w:rPr/>
      </w:pPr>
      <w:r>
        <w:rPr>
          <w:lang w:eastAsia="zh-CN"/>
        </w:rPr>
        <w:t xml:space="preserve">Test environment with an AUSF. The AUSF or AMF may be simulated. </w:t>
      </w:r>
    </w:p>
    <w:p>
      <w:pPr>
        <w:pStyle w:val="Normal"/>
        <w:rPr>
          <w:b/>
          <w:lang w:eastAsia="zh-CN"/>
        </w:rPr>
      </w:pPr>
      <w:r>
        <w:rPr>
          <w:b/>
          <w:lang w:eastAsia="zh-CN"/>
        </w:rPr>
        <w:t>Execution Steps</w:t>
      </w:r>
    </w:p>
    <w:p>
      <w:pPr>
        <w:pStyle w:val="B1"/>
        <w:rPr/>
      </w:pPr>
      <w:r>
        <w:rPr>
          <w:lang w:eastAsia="zh-CN"/>
        </w:rPr>
        <w:t>1.</w:t>
        <w:tab/>
        <w:t xml:space="preserve">The AUSF sends </w:t>
      </w:r>
      <w:r>
        <w:rPr/>
        <w:t>an Nudm_UEAuthentication_Get Request message to the UDM with a "synchronisation failure indication" and parameters RAND and AUTS</w:t>
      </w:r>
      <w:r>
        <w:rPr>
          <w:lang w:eastAsia="zh-CN"/>
        </w:rPr>
        <w:t>.</w:t>
      </w:r>
    </w:p>
    <w:p>
      <w:pPr>
        <w:pStyle w:val="B1"/>
        <w:rPr>
          <w:lang w:eastAsia="zh-CN"/>
        </w:rPr>
      </w:pPr>
      <w:r>
        <w:rPr>
          <w:lang w:eastAsia="zh-CN"/>
        </w:rPr>
        <w:t>2.</w:t>
        <w:tab/>
        <w:t xml:space="preserve">The UDM/ARPF performs steps 1-5 as described in </w:t>
      </w:r>
      <w:r>
        <w:rPr/>
        <w:t>TS 33.102, clause 6.3.5.</w:t>
      </w:r>
    </w:p>
    <w:p>
      <w:pPr>
        <w:pStyle w:val="Normal"/>
        <w:rPr>
          <w:b/>
          <w:lang w:eastAsia="zh-CN"/>
        </w:rPr>
      </w:pPr>
      <w:r>
        <w:rPr>
          <w:b/>
          <w:lang w:eastAsia="zh-CN"/>
        </w:rPr>
        <w:t>Expected Results:</w:t>
      </w:r>
    </w:p>
    <w:p>
      <w:pPr>
        <w:pStyle w:val="Normal"/>
        <w:rPr>
          <w:lang w:eastAsia="zh-CN"/>
        </w:rPr>
      </w:pPr>
      <w:r>
        <w:rPr/>
        <w:t>The UDM sends an Nudm_UEAuthentication_Get Response message with a new authentication vector to the AUSF</w:t>
      </w:r>
      <w:r>
        <w:rPr>
          <w:lang w:eastAsia="zh-CN"/>
        </w:rPr>
        <w:t>.</w:t>
      </w:r>
    </w:p>
    <w:p>
      <w:pPr>
        <w:pStyle w:val="NO"/>
        <w:rPr>
          <w:lang w:eastAsia="zh-CN"/>
        </w:rPr>
      </w:pPr>
      <w:r>
        <w:rPr/>
        <w:t>NOTE:</w:t>
        <w:tab/>
        <w:t>The expected results would be that the UDM/AUSF sends an Nausf_UEAuthentication_Authenticate Response message with EAP Request/AKA’-Challenge for EAP AKA’, or 5G SE AV for 5G AKA to the AMF, if the UDM and AUSF network products are collocated without an open N13 interface.</w:t>
      </w:r>
    </w:p>
    <w:p>
      <w:pPr>
        <w:pStyle w:val="Normal"/>
        <w:rPr>
          <w:b/>
          <w:bCs/>
        </w:rPr>
      </w:pPr>
      <w:r>
        <w:rPr>
          <w:b/>
          <w:bCs/>
        </w:rPr>
        <w:t>Expected format of evidence:</w:t>
      </w:r>
    </w:p>
    <w:p>
      <w:pPr>
        <w:pStyle w:val="Normal"/>
        <w:rPr/>
      </w:pPr>
      <w:r>
        <w:rPr/>
        <w:t>Evidence suitable for the interface, e.g., Screenshot, packet capture or application log containing the operational results.</w:t>
      </w:r>
    </w:p>
    <w:p>
      <w:pPr>
        <w:pStyle w:val="Heading4"/>
        <w:rPr/>
      </w:pPr>
      <w:bookmarkStart w:id="40" w:name="__RefHeading___Toc153454914"/>
      <w:r>
        <w:rPr/>
        <w:t>4.2.2.2</w:t>
        <w:tab/>
        <w:t>Storing of authentication status of UE by UDM</w:t>
      </w:r>
      <w:bookmarkEnd w:id="40"/>
      <w:r>
        <w:rPr/>
        <w:t xml:space="preserve"> </w:t>
      </w:r>
    </w:p>
    <w:p>
      <w:pPr>
        <w:pStyle w:val="Normal"/>
        <w:rPr/>
      </w:pPr>
      <w:r>
        <w:rPr>
          <w:i/>
        </w:rPr>
        <w:t>Requirement Name:</w:t>
      </w:r>
      <w:r>
        <w:rPr>
          <w:lang w:eastAsia="ja-JP"/>
        </w:rPr>
        <w:t xml:space="preserve"> Storing of authentication status of UE by UDM. </w:t>
      </w:r>
    </w:p>
    <w:p>
      <w:pPr>
        <w:pStyle w:val="Normal"/>
        <w:rPr/>
      </w:pPr>
      <w:r>
        <w:rPr>
          <w:i/>
        </w:rPr>
        <w:t>Requirement Reference:</w:t>
      </w:r>
      <w:r>
        <w:rPr/>
        <w:t xml:space="preserve"> TS 33.501 [2], clause 6.1.4.1a</w:t>
      </w:r>
    </w:p>
    <w:p>
      <w:pPr>
        <w:pStyle w:val="Normal"/>
        <w:rPr/>
      </w:pPr>
      <w:r>
        <w:rPr>
          <w:i/>
        </w:rPr>
        <w:t>Requirement Description:</w:t>
      </w:r>
      <w:r>
        <w:rPr/>
        <w:t xml:space="preserve"> The UDM stores the authentication status of the UE (SUPI, authentication result, time stamp, and the serving network name) after authentication as specified in TS 33.501 [2], clause 6.1.4.1a.</w:t>
      </w:r>
    </w:p>
    <w:p>
      <w:pPr>
        <w:pStyle w:val="Normal"/>
        <w:rPr/>
      </w:pPr>
      <w:r>
        <w:rPr>
          <w:i/>
        </w:rPr>
        <w:t>Threat References</w:t>
      </w:r>
      <w:r>
        <w:rPr/>
        <w:t>: TR 33.926 [4], clause E.2.2.3, Failure to store of authentication status.</w:t>
      </w:r>
    </w:p>
    <w:p>
      <w:pPr>
        <w:pStyle w:val="Normal"/>
        <w:rPr/>
      </w:pPr>
      <w:r>
        <w:rPr>
          <w:b/>
        </w:rPr>
        <w:t xml:space="preserve">Test Case: </w:t>
      </w:r>
    </w:p>
    <w:p>
      <w:pPr>
        <w:pStyle w:val="Normal"/>
        <w:rPr/>
      </w:pPr>
      <w:r>
        <w:rPr>
          <w:b/>
        </w:rPr>
        <w:t xml:space="preserve">Test Name: </w:t>
      </w:r>
      <w:r>
        <w:rPr/>
        <w:t>TC_AUTH_STATUS_STORE_UDM</w:t>
      </w:r>
    </w:p>
    <w:p>
      <w:pPr>
        <w:pStyle w:val="Normal"/>
        <w:rPr>
          <w:b/>
        </w:rPr>
      </w:pPr>
      <w:r>
        <w:rPr>
          <w:b/>
        </w:rPr>
        <w:t xml:space="preserve">Purpose: </w:t>
      </w:r>
    </w:p>
    <w:p>
      <w:pPr>
        <w:pStyle w:val="Normal"/>
        <w:rPr/>
      </w:pPr>
      <w:r>
        <w:rPr/>
        <w:t>Verify that the UDM under test stores the authentication status of UE.</w:t>
      </w:r>
    </w:p>
    <w:p>
      <w:pPr>
        <w:pStyle w:val="Normal"/>
        <w:keepNext w:val="true"/>
        <w:keepLines/>
        <w:spacing w:before="180" w:after="180"/>
        <w:rPr>
          <w:b/>
          <w:lang w:eastAsia="zh-CN"/>
        </w:rPr>
      </w:pPr>
      <w:r>
        <w:rPr>
          <w:b/>
          <w:lang w:eastAsia="zh-CN"/>
        </w:rPr>
        <w:t>Procedure and execution steps:</w:t>
      </w:r>
    </w:p>
    <w:p>
      <w:pPr>
        <w:pStyle w:val="Normal"/>
        <w:rPr>
          <w:b/>
        </w:rPr>
      </w:pPr>
      <w:r>
        <w:rPr>
          <w:b/>
        </w:rPr>
        <w:t xml:space="preserve">Pre-Condition: </w:t>
      </w:r>
    </w:p>
    <w:p>
      <w:pPr>
        <w:pStyle w:val="B1"/>
        <w:rPr/>
      </w:pPr>
      <w:r>
        <w:rPr/>
        <w:t>-</w:t>
        <w:tab/>
        <w:t>UDM network product is connected with an AUSF in simulated/real network environment.</w:t>
      </w:r>
    </w:p>
    <w:p>
      <w:pPr>
        <w:pStyle w:val="B1"/>
        <w:rPr>
          <w:rFonts w:eastAsia="Calibri"/>
        </w:rPr>
      </w:pPr>
      <w:r>
        <w:rPr>
          <w:rFonts w:eastAsia="Calibri"/>
        </w:rPr>
        <w:t>-</w:t>
        <w:tab/>
        <w:t>The tester shall have access to the UDM under test.</w:t>
      </w:r>
    </w:p>
    <w:p>
      <w:pPr>
        <w:pStyle w:val="Normal"/>
        <w:rPr>
          <w:b/>
        </w:rPr>
      </w:pPr>
      <w:r>
        <w:rPr>
          <w:b/>
        </w:rPr>
        <w:t xml:space="preserve">Execution Steps: </w:t>
      </w:r>
    </w:p>
    <w:p>
      <w:pPr>
        <w:pStyle w:val="B1"/>
        <w:rPr/>
      </w:pPr>
      <w:r>
        <w:rPr/>
        <w:t>1.</w:t>
        <w:tab/>
        <w:t>The tester shall send an Nudm_UEAuthentication_Get Request message to the UDM with the UE credentials and a selected serving network name.</w:t>
      </w:r>
    </w:p>
    <w:p>
      <w:pPr>
        <w:pStyle w:val="B1"/>
        <w:rPr/>
      </w:pPr>
      <w:r>
        <w:rPr/>
        <w:t xml:space="preserve">2. </w:t>
        <w:tab/>
        <w:t>The tester shall receive a successful Nudm_UEAuthentication_Get Response from the UDM.</w:t>
      </w:r>
    </w:p>
    <w:p>
      <w:pPr>
        <w:pStyle w:val="B1"/>
        <w:rPr/>
      </w:pPr>
      <w:r>
        <w:rPr/>
        <w:t xml:space="preserve">3. </w:t>
        <w:tab/>
        <w:t>The tester shall simulate the successful authentication by sending the Nudm_UEAuthentication_ResultConfirmation Request message with a selected timestamp to the UDM.</w:t>
      </w:r>
    </w:p>
    <w:p>
      <w:pPr>
        <w:pStyle w:val="B1"/>
        <w:rPr/>
      </w:pPr>
      <w:r>
        <w:rPr>
          <w:rFonts w:eastAsia="Calibri"/>
        </w:rPr>
        <w:t>4.</w:t>
        <w:tab/>
        <w:t>The tester shall receive a successful Nudm_UEAuthentication_ResultConfirmation Response message from the UDM.</w:t>
      </w:r>
    </w:p>
    <w:p>
      <w:pPr>
        <w:pStyle w:val="B1"/>
        <w:rPr/>
      </w:pPr>
      <w:r>
        <w:rPr/>
        <w:t>5.</w:t>
        <w:tab/>
        <w:t>The tester shall compare the serving network name stored in the UDM against the serving network name retrieved from the Nudm_UEAuthentication_Get Request message and the serving network name retrieved from the Nudm_UEAuthentication_ResultConfirmation Request message.</w:t>
      </w:r>
    </w:p>
    <w:p>
      <w:pPr>
        <w:pStyle w:val="B1"/>
        <w:rPr/>
      </w:pPr>
      <w:r>
        <w:rPr/>
        <w:t>6.</w:t>
        <w:tab/>
        <w:t>The tester shall compare the SUPI stored in the UDM (retrieved from the Nudm_UEAuthentication_ResultConfirmation Response message) against the SUPI retrieved from the Nudm_UEAuthentication_Get Response message.</w:t>
      </w:r>
    </w:p>
    <w:p>
      <w:pPr>
        <w:pStyle w:val="B1"/>
        <w:rPr/>
      </w:pPr>
      <w:r>
        <w:rPr/>
        <w:t>7.</w:t>
        <w:tab/>
        <w:t>The tester shall compare the timestamp stored in the UDM against the time of authentication procedure retrieved from the Nudm_UEAuthentication_ResultConfirmation Request message.</w:t>
      </w:r>
    </w:p>
    <w:p>
      <w:pPr>
        <w:pStyle w:val="Normal"/>
        <w:rPr>
          <w:b/>
        </w:rPr>
      </w:pPr>
      <w:r>
        <w:rPr>
          <w:b/>
        </w:rPr>
        <w:t>Expected Results:</w:t>
      </w:r>
    </w:p>
    <w:p>
      <w:pPr>
        <w:pStyle w:val="Normal"/>
        <w:rPr/>
      </w:pPr>
      <w:r>
        <w:rPr/>
        <w:t>The storing of authentication status (SUPI,  timestamp, and the serving network name) of UE at the UDM is verified.</w:t>
      </w:r>
    </w:p>
    <w:p>
      <w:pPr>
        <w:pStyle w:val="Normal"/>
        <w:rPr>
          <w:b/>
        </w:rPr>
      </w:pPr>
      <w:r>
        <w:rPr>
          <w:b/>
        </w:rPr>
        <w:t>Expected format of evidence:</w:t>
      </w:r>
    </w:p>
    <w:p>
      <w:pPr>
        <w:pStyle w:val="Normal"/>
        <w:rPr/>
      </w:pPr>
      <w:r>
        <w:rPr/>
        <w:t>Evidence suitable for the interface, e.g., evidence can be presented in the form of packet capture or screenshot/screen-capture.</w:t>
      </w:r>
    </w:p>
    <w:p>
      <w:pPr>
        <w:pStyle w:val="NO"/>
        <w:rPr/>
      </w:pPr>
      <w:r>
        <w:rPr/>
        <w:t>NOTE:</w:t>
        <w:tab/>
        <w:t>Void</w:t>
      </w:r>
    </w:p>
    <w:p>
      <w:pPr>
        <w:pStyle w:val="Heading3"/>
        <w:ind w:hanging="1134" w:left="1134"/>
        <w:rPr/>
      </w:pPr>
      <w:bookmarkStart w:id="41" w:name="__RefHeading___Toc153454915"/>
      <w:bookmarkEnd w:id="41"/>
      <w:r>
        <w:rPr/>
        <w:t>4.2.3</w:t>
        <w:tab/>
        <w:t>Technical Baseline</w:t>
      </w:r>
    </w:p>
    <w:p>
      <w:pPr>
        <w:pStyle w:val="Heading4"/>
        <w:rPr/>
      </w:pPr>
      <w:bookmarkStart w:id="42" w:name="__RefHeading___Toc153454916"/>
      <w:bookmarkEnd w:id="42"/>
      <w:r>
        <w:rPr/>
        <w:t>4.2.3.1</w:t>
        <w:tab/>
        <w:t>Introduction</w:t>
      </w:r>
    </w:p>
    <w:p>
      <w:pPr>
        <w:pStyle w:val="Normal"/>
        <w:rPr/>
      </w:pPr>
      <w:r>
        <w:rPr/>
        <w:t>The present clause provides baseline technical requirements.</w:t>
      </w:r>
    </w:p>
    <w:p>
      <w:pPr>
        <w:pStyle w:val="Heading4"/>
        <w:keepNext w:val="false"/>
        <w:keepLines w:val="false"/>
        <w:rPr/>
      </w:pPr>
      <w:bookmarkStart w:id="43" w:name="__RefHeading___Toc153454917"/>
      <w:bookmarkEnd w:id="43"/>
      <w:r>
        <w:rPr/>
        <w:t>4.2.3.2</w:t>
        <w:tab/>
        <w:t>Protecting</w:t>
      </w:r>
      <w:r>
        <w:rPr>
          <w:spacing w:val="-12"/>
        </w:rPr>
        <w:t xml:space="preserve"> </w:t>
      </w:r>
      <w:r>
        <w:rPr/>
        <w:t>data</w:t>
      </w:r>
      <w:r>
        <w:rPr>
          <w:spacing w:val="-5"/>
        </w:rPr>
        <w:t xml:space="preserve"> </w:t>
      </w:r>
      <w:r>
        <w:rPr/>
        <w:t>and</w:t>
      </w:r>
      <w:r>
        <w:rPr>
          <w:spacing w:val="-4"/>
        </w:rPr>
        <w:t xml:space="preserve"> </w:t>
      </w:r>
      <w:r>
        <w:rPr/>
        <w:t>information</w:t>
      </w:r>
    </w:p>
    <w:p>
      <w:pPr>
        <w:pStyle w:val="Heading5"/>
        <w:rPr/>
      </w:pPr>
      <w:bookmarkStart w:id="44" w:name="__RefHeading___Toc153454918"/>
      <w:bookmarkEnd w:id="44"/>
      <w:r>
        <w:rPr/>
        <w:t>4.2.3.2.1</w:t>
        <w:tab/>
        <w:t>Protecting</w:t>
      </w:r>
      <w:r>
        <w:rPr>
          <w:spacing w:val="-12"/>
        </w:rPr>
        <w:t xml:space="preserve"> </w:t>
      </w:r>
      <w:r>
        <w:rPr/>
        <w:t>data</w:t>
      </w:r>
      <w:r>
        <w:rPr>
          <w:spacing w:val="-5"/>
        </w:rPr>
        <w:t xml:space="preserve"> </w:t>
      </w:r>
      <w:r>
        <w:rPr/>
        <w:t>and</w:t>
      </w:r>
      <w:r>
        <w:rPr>
          <w:spacing w:val="-4"/>
        </w:rPr>
        <w:t xml:space="preserve"> </w:t>
      </w:r>
      <w:r>
        <w:rPr/>
        <w:t>information – general</w:t>
      </w:r>
    </w:p>
    <w:p>
      <w:pPr>
        <w:pStyle w:val="Normal"/>
        <w:rPr/>
      </w:pPr>
      <w:r>
        <w:rPr>
          <w:color w:val="000000"/>
        </w:rPr>
        <w:t xml:space="preserve">There are no UDM-specific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 [3].</w:t>
      </w:r>
    </w:p>
    <w:p>
      <w:pPr>
        <w:pStyle w:val="Heading5"/>
        <w:rPr/>
      </w:pPr>
      <w:bookmarkStart w:id="45" w:name="__RefHeading___Toc153454919"/>
      <w:bookmarkEnd w:id="45"/>
      <w:r>
        <w:rPr/>
        <w:t>4.2.3.2.2</w:t>
        <w:tab/>
        <w:t>Protecting</w:t>
      </w:r>
      <w:r>
        <w:rPr>
          <w:spacing w:val="-12"/>
        </w:rPr>
        <w:t xml:space="preserve"> </w:t>
      </w:r>
      <w:r>
        <w:rPr/>
        <w:t>data</w:t>
      </w:r>
      <w:r>
        <w:rPr>
          <w:spacing w:val="-5"/>
        </w:rPr>
        <w:t xml:space="preserve"> </w:t>
      </w:r>
      <w:r>
        <w:rPr/>
        <w:t>and</w:t>
      </w:r>
      <w:r>
        <w:rPr>
          <w:spacing w:val="-4"/>
        </w:rPr>
        <w:t xml:space="preserve"> </w:t>
      </w:r>
      <w:r>
        <w:rPr/>
        <w:t>information – unauthorized viewing</w:t>
      </w:r>
    </w:p>
    <w:p>
      <w:pPr>
        <w:pStyle w:val="Normal"/>
        <w:rPr/>
      </w:pPr>
      <w:r>
        <w:rPr/>
        <w:t xml:space="preserve">There are no UDM-specific additions to clause </w:t>
      </w:r>
      <w:r>
        <w:rPr/>
        <w:t>4</w:t>
      </w:r>
      <w:r>
        <w:rPr/>
        <w:t>.</w:t>
      </w:r>
      <w:r>
        <w:rPr/>
        <w:t>2</w:t>
      </w:r>
      <w:r>
        <w:rPr/>
        <w:t>.3</w:t>
      </w:r>
      <w:r>
        <w:rPr/>
        <w:t>.2</w:t>
      </w:r>
      <w:r>
        <w:rPr/>
        <w:t>.2 of TS 33.117 [3].</w:t>
      </w:r>
    </w:p>
    <w:p>
      <w:pPr>
        <w:pStyle w:val="Heading5"/>
        <w:rPr/>
      </w:pPr>
      <w:bookmarkStart w:id="46" w:name="__RefHeading___Toc153454920"/>
      <w:bookmarkEnd w:id="46"/>
      <w:r>
        <w:rPr/>
        <w:t>4.2.3.2.3</w:t>
        <w:tab/>
        <w:t>Protecting</w:t>
      </w:r>
      <w:r>
        <w:rPr>
          <w:spacing w:val="-12"/>
        </w:rPr>
        <w:t xml:space="preserve"> </w:t>
      </w:r>
      <w:r>
        <w:rPr/>
        <w:t>data</w:t>
      </w:r>
      <w:r>
        <w:rPr>
          <w:spacing w:val="-5"/>
        </w:rPr>
        <w:t xml:space="preserve"> </w:t>
      </w:r>
      <w:r>
        <w:rPr/>
        <w:t>and</w:t>
      </w:r>
      <w:r>
        <w:rPr>
          <w:spacing w:val="-4"/>
        </w:rPr>
        <w:t xml:space="preserve"> </w:t>
      </w:r>
      <w:r>
        <w:rPr/>
        <w:t>information in storage</w:t>
      </w:r>
    </w:p>
    <w:p>
      <w:pPr>
        <w:pStyle w:val="Normal"/>
        <w:rPr/>
      </w:pPr>
      <w:r>
        <w:rPr/>
        <w:t xml:space="preserve">There are no UDM-specific additions to clause </w:t>
      </w:r>
      <w:r>
        <w:rPr/>
        <w:t>4</w:t>
      </w:r>
      <w:r>
        <w:rPr/>
        <w:t>.</w:t>
      </w:r>
      <w:r>
        <w:rPr/>
        <w:t>2</w:t>
      </w:r>
      <w:r>
        <w:rPr/>
        <w:t>.3</w:t>
      </w:r>
      <w:r>
        <w:rPr/>
        <w:t>.2</w:t>
      </w:r>
      <w:r>
        <w:rPr/>
        <w:t>.3 of TS 33.117 [3].</w:t>
      </w:r>
    </w:p>
    <w:p>
      <w:pPr>
        <w:pStyle w:val="Heading5"/>
        <w:rPr/>
      </w:pPr>
      <w:bookmarkStart w:id="47" w:name="__RefHeading___Toc153454921"/>
      <w:bookmarkEnd w:id="47"/>
      <w:r>
        <w:rPr/>
        <w:t>4.2.3.2.4</w:t>
        <w:tab/>
        <w:t>Protecting</w:t>
      </w:r>
      <w:r>
        <w:rPr>
          <w:spacing w:val="-12"/>
        </w:rPr>
        <w:t xml:space="preserve"> </w:t>
      </w:r>
      <w:r>
        <w:rPr/>
        <w:t>data</w:t>
      </w:r>
      <w:r>
        <w:rPr>
          <w:spacing w:val="-5"/>
        </w:rPr>
        <w:t xml:space="preserve"> </w:t>
      </w:r>
      <w:r>
        <w:rPr/>
        <w:t>and</w:t>
      </w:r>
      <w:r>
        <w:rPr>
          <w:spacing w:val="-4"/>
        </w:rPr>
        <w:t xml:space="preserve"> </w:t>
      </w:r>
      <w:r>
        <w:rPr/>
        <w:t>information in transfer</w:t>
      </w:r>
    </w:p>
    <w:p>
      <w:pPr>
        <w:pStyle w:val="B1"/>
        <w:ind w:hanging="0" w:left="0" w:right="0"/>
        <w:rPr/>
      </w:pPr>
      <w:r>
        <w:rPr>
          <w:color w:val="000000"/>
        </w:rPr>
        <w:t xml:space="preserve">There are no UDM-specific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 [3].</w:t>
      </w:r>
    </w:p>
    <w:p>
      <w:pPr>
        <w:pStyle w:val="Heading5"/>
        <w:rPr/>
      </w:pPr>
      <w:bookmarkStart w:id="48" w:name="__RefHeading___Toc153454922"/>
      <w:bookmarkEnd w:id="48"/>
      <w:r>
        <w:rPr/>
        <w:t>4.2.3.2.5</w:t>
        <w:tab/>
        <w:t>Logging access to personal data</w:t>
      </w:r>
    </w:p>
    <w:p>
      <w:pPr>
        <w:pStyle w:val="Normal"/>
        <w:rPr>
          <w:lang w:eastAsia="zh-CN"/>
        </w:rPr>
      </w:pPr>
      <w:r>
        <w:rPr>
          <w:color w:val="000000"/>
        </w:rPr>
        <w:t xml:space="preserve">There are no UDM-specific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 [3].</w:t>
      </w:r>
    </w:p>
    <w:p>
      <w:pPr>
        <w:pStyle w:val="Heading4"/>
        <w:keepNext w:val="false"/>
        <w:keepLines w:val="false"/>
        <w:suppressLineNumbers/>
        <w:suppressAutoHyphens w:val="true"/>
        <w:rPr/>
      </w:pPr>
      <w:bookmarkStart w:id="49" w:name="__RefHeading___Toc153454923"/>
      <w:bookmarkEnd w:id="49"/>
      <w:r>
        <w:rPr/>
        <w:t>4.2.3.3</w:t>
        <w:tab/>
        <w:t>Protecting</w:t>
      </w:r>
      <w:r>
        <w:rPr>
          <w:spacing w:val="-12"/>
        </w:rPr>
        <w:t xml:space="preserve"> </w:t>
      </w:r>
      <w:r>
        <w:rPr/>
        <w:t>availability</w:t>
      </w:r>
      <w:r>
        <w:rPr>
          <w:spacing w:val="-12"/>
        </w:rPr>
        <w:t xml:space="preserve"> </w:t>
      </w:r>
      <w:r>
        <w:rPr/>
        <w:t>and</w:t>
      </w:r>
      <w:r>
        <w:rPr>
          <w:spacing w:val="-4"/>
        </w:rPr>
        <w:t xml:space="preserve"> </w:t>
      </w:r>
      <w:r>
        <w:rPr/>
        <w:t>integrity</w:t>
      </w:r>
    </w:p>
    <w:p>
      <w:pPr>
        <w:pStyle w:val="Normal"/>
        <w:rPr>
          <w:lang w:eastAsia="zh-CN"/>
        </w:rPr>
      </w:pPr>
      <w:r>
        <w:rPr>
          <w:color w:val="000000"/>
        </w:rPr>
        <w:t xml:space="preserve">There are no UDM-specific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3</w:t>
      </w:r>
      <w:r>
        <w:rPr>
          <w:color w:val="000000"/>
        </w:rPr>
        <w:t xml:space="preserve"> of TS 33.117 [3].</w:t>
      </w:r>
    </w:p>
    <w:p>
      <w:pPr>
        <w:pStyle w:val="Heading4"/>
        <w:keepNext w:val="false"/>
        <w:keepLines w:val="false"/>
        <w:suppressLineNumbers/>
        <w:suppressAutoHyphens w:val="true"/>
        <w:rPr/>
      </w:pPr>
      <w:bookmarkStart w:id="50" w:name="__RefHeading___Toc153454924"/>
      <w:bookmarkEnd w:id="50"/>
      <w:r>
        <w:rPr/>
        <w:t>4.2.3.4</w:t>
        <w:tab/>
        <w:t>Authentication</w:t>
      </w:r>
      <w:r>
        <w:rPr>
          <w:spacing w:val="-17"/>
        </w:rPr>
        <w:t xml:space="preserve"> </w:t>
      </w:r>
      <w:r>
        <w:rPr/>
        <w:t>and</w:t>
      </w:r>
      <w:r>
        <w:rPr>
          <w:spacing w:val="-4"/>
        </w:rPr>
        <w:t xml:space="preserve"> </w:t>
      </w:r>
      <w:r>
        <w:rPr/>
        <w:t>authorization</w:t>
      </w:r>
    </w:p>
    <w:p>
      <w:pPr>
        <w:pStyle w:val="Normal"/>
        <w:rPr/>
      </w:pPr>
      <w:r>
        <w:rPr>
          <w:lang w:eastAsia="zh-CN"/>
        </w:rPr>
        <w:t xml:space="preserve"> </w:t>
      </w:r>
      <w:r>
        <w:rPr>
          <w:color w:val="000000"/>
        </w:rPr>
        <w:t xml:space="preserve">There are no UDM-specific additions to clause </w:t>
      </w:r>
      <w:r>
        <w:rPr>
          <w:color w:val="000000"/>
        </w:rPr>
        <w:t>4</w:t>
      </w:r>
      <w:r>
        <w:rPr>
          <w:color w:val="000000"/>
        </w:rPr>
        <w:t>.</w:t>
      </w:r>
      <w:r>
        <w:rPr>
          <w:color w:val="000000"/>
        </w:rPr>
        <w:t>2</w:t>
      </w:r>
      <w:r>
        <w:rPr>
          <w:color w:val="000000"/>
        </w:rPr>
        <w:t>.3</w:t>
      </w:r>
      <w:r>
        <w:rPr>
          <w:color w:val="000000"/>
        </w:rPr>
        <w:t>.</w:t>
      </w:r>
      <w:r>
        <w:rPr>
          <w:color w:val="000000"/>
        </w:rPr>
        <w:t>4 of TS 33.117 [3].</w:t>
      </w:r>
    </w:p>
    <w:p>
      <w:pPr>
        <w:pStyle w:val="Heading4"/>
        <w:keepNext w:val="false"/>
        <w:keepLines w:val="false"/>
        <w:suppressLineNumbers/>
        <w:suppressAutoHyphens w:val="true"/>
        <w:rPr/>
      </w:pPr>
      <w:bookmarkStart w:id="51" w:name="__RefHeading___Toc153454925"/>
      <w:bookmarkEnd w:id="51"/>
      <w:r>
        <w:rPr/>
        <w:t>4.2.3.5</w:t>
        <w:tab/>
        <w:t>Protecting</w:t>
      </w:r>
      <w:r>
        <w:rPr>
          <w:spacing w:val="-12"/>
        </w:rPr>
        <w:t xml:space="preserve"> </w:t>
      </w:r>
      <w:r>
        <w:rPr/>
        <w:t>sessions</w:t>
      </w:r>
    </w:p>
    <w:p>
      <w:pPr>
        <w:pStyle w:val="Normal"/>
        <w:rPr/>
      </w:pPr>
      <w:r>
        <w:rPr>
          <w:lang w:eastAsia="zh-CN"/>
        </w:rPr>
        <w:t xml:space="preserve"> </w:t>
      </w:r>
      <w:r>
        <w:rPr>
          <w:color w:val="000000"/>
        </w:rPr>
        <w:t xml:space="preserve">There are no UDM-specific additions to clause </w:t>
      </w:r>
      <w:r>
        <w:rPr>
          <w:color w:val="000000"/>
        </w:rPr>
        <w:t>4</w:t>
      </w:r>
      <w:r>
        <w:rPr>
          <w:color w:val="000000"/>
        </w:rPr>
        <w:t>.</w:t>
      </w:r>
      <w:r>
        <w:rPr>
          <w:color w:val="000000"/>
        </w:rPr>
        <w:t>2</w:t>
      </w:r>
      <w:r>
        <w:rPr>
          <w:color w:val="000000"/>
        </w:rPr>
        <w:t>.3</w:t>
      </w:r>
      <w:r>
        <w:rPr>
          <w:color w:val="000000"/>
        </w:rPr>
        <w:t>.</w:t>
      </w:r>
      <w:r>
        <w:rPr>
          <w:color w:val="000000"/>
        </w:rPr>
        <w:t>5 of TS 33.117 [3].</w:t>
      </w:r>
    </w:p>
    <w:p>
      <w:pPr>
        <w:pStyle w:val="Heading4"/>
        <w:keepNext w:val="false"/>
        <w:keepLines w:val="false"/>
        <w:suppressLineNumbers/>
        <w:suppressAutoHyphens w:val="true"/>
        <w:rPr/>
      </w:pPr>
      <w:bookmarkStart w:id="52" w:name="__RefHeading___Toc153454926"/>
      <w:bookmarkEnd w:id="52"/>
      <w:r>
        <w:rPr/>
        <w:t>4.2.3.6</w:t>
        <w:tab/>
        <w:t>Logging</w:t>
      </w:r>
    </w:p>
    <w:p>
      <w:pPr>
        <w:pStyle w:val="Normal"/>
        <w:rPr>
          <w:lang w:eastAsia="zh-CN"/>
        </w:rPr>
      </w:pPr>
      <w:r>
        <w:rPr>
          <w:lang w:eastAsia="zh-CN"/>
        </w:rPr>
        <w:t xml:space="preserve"> </w:t>
      </w:r>
      <w:r>
        <w:rPr>
          <w:color w:val="000000"/>
        </w:rPr>
        <w:t xml:space="preserve">There are no UDM-specific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6</w:t>
      </w:r>
      <w:r>
        <w:rPr>
          <w:color w:val="000000"/>
        </w:rPr>
        <w:t xml:space="preserve"> of TS 33.117 [3].</w:t>
      </w:r>
      <w:r>
        <w:rPr>
          <w:lang w:eastAsia="zh-CN"/>
        </w:rPr>
        <w:t xml:space="preserve"> </w:t>
      </w:r>
    </w:p>
    <w:p>
      <w:pPr>
        <w:pStyle w:val="Heading3"/>
        <w:keepNext w:val="false"/>
        <w:keepLines w:val="false"/>
        <w:suppressLineNumbers/>
        <w:suppressAutoHyphens w:val="true"/>
        <w:ind w:hanging="1134" w:left="1134"/>
        <w:rPr/>
      </w:pPr>
      <w:bookmarkStart w:id="53" w:name="__RefHeading___Toc153454927"/>
      <w:bookmarkEnd w:id="53"/>
      <w:r>
        <w:rPr/>
        <w:t>4.2.4</w:t>
        <w:tab/>
        <w:t>Operating Systems</w:t>
      </w:r>
    </w:p>
    <w:p>
      <w:pPr>
        <w:pStyle w:val="Normal"/>
        <w:rPr>
          <w:lang w:eastAsia="zh-CN"/>
        </w:rPr>
      </w:pPr>
      <w:r>
        <w:rPr>
          <w:color w:val="000000"/>
        </w:rPr>
        <w:t xml:space="preserve">There are no UDM-specific additions to clause </w:t>
      </w:r>
      <w:r>
        <w:rPr>
          <w:color w:val="000000"/>
        </w:rPr>
        <w:t>4</w:t>
      </w:r>
      <w:r>
        <w:rPr>
          <w:color w:val="000000"/>
        </w:rPr>
        <w:t>.</w:t>
      </w:r>
      <w:r>
        <w:rPr>
          <w:color w:val="000000"/>
          <w:lang w:eastAsia="zh-CN"/>
        </w:rPr>
        <w:t>2</w:t>
      </w:r>
      <w:r>
        <w:rPr>
          <w:color w:val="000000"/>
        </w:rPr>
        <w:t>.4 of TS 33.117 [3].</w:t>
      </w:r>
      <w:r>
        <w:rPr>
          <w:lang w:eastAsia="zh-CN"/>
        </w:rPr>
        <w:t xml:space="preserve"> </w:t>
      </w:r>
    </w:p>
    <w:p>
      <w:pPr>
        <w:pStyle w:val="Heading3"/>
        <w:keepNext w:val="false"/>
        <w:keepLines w:val="false"/>
        <w:suppressLineNumbers/>
        <w:suppressAutoHyphens w:val="true"/>
        <w:ind w:hanging="1134" w:left="1134"/>
        <w:rPr/>
      </w:pPr>
      <w:bookmarkStart w:id="54" w:name="__RefHeading___Toc153454928"/>
      <w:bookmarkEnd w:id="54"/>
      <w:r>
        <w:rPr/>
        <w:t>4.2.5</w:t>
        <w:tab/>
        <w:t>Web Servers</w:t>
      </w:r>
    </w:p>
    <w:p>
      <w:pPr>
        <w:pStyle w:val="Normal"/>
        <w:rPr>
          <w:lang w:eastAsia="zh-CN"/>
        </w:rPr>
      </w:pPr>
      <w:r>
        <w:rPr>
          <w:lang w:eastAsia="zh-CN"/>
        </w:rPr>
        <w:t xml:space="preserve"> </w:t>
      </w:r>
      <w:r>
        <w:rPr>
          <w:color w:val="000000"/>
        </w:rPr>
        <w:t xml:space="preserve">There are no UDM-specific additions to clause </w:t>
      </w:r>
      <w:r>
        <w:rPr>
          <w:color w:val="000000"/>
        </w:rPr>
        <w:t>4</w:t>
      </w:r>
      <w:r>
        <w:rPr>
          <w:color w:val="000000"/>
        </w:rPr>
        <w:t>.</w:t>
      </w:r>
      <w:r>
        <w:rPr>
          <w:color w:val="000000"/>
          <w:lang w:eastAsia="zh-CN"/>
        </w:rPr>
        <w:t>2</w:t>
      </w:r>
      <w:r>
        <w:rPr>
          <w:color w:val="000000"/>
        </w:rPr>
        <w:t>.5 of TS 33.117 [3].</w:t>
      </w:r>
    </w:p>
    <w:p>
      <w:pPr>
        <w:pStyle w:val="Heading3"/>
        <w:keepNext w:val="false"/>
        <w:keepLines w:val="false"/>
        <w:suppressLineNumbers/>
        <w:suppressAutoHyphens w:val="true"/>
        <w:ind w:hanging="1134" w:left="1134"/>
        <w:rPr/>
      </w:pPr>
      <w:bookmarkStart w:id="55" w:name="__RefHeading___Toc153454929"/>
      <w:bookmarkEnd w:id="55"/>
      <w:r>
        <w:rPr/>
        <w:t>4.2.6</w:t>
        <w:tab/>
        <w:t>Network Devices</w:t>
      </w:r>
    </w:p>
    <w:p>
      <w:pPr>
        <w:pStyle w:val="Normal"/>
        <w:rPr>
          <w:lang w:eastAsia="zh-CN"/>
        </w:rPr>
      </w:pPr>
      <w:r>
        <w:rPr>
          <w:color w:val="000000"/>
        </w:rPr>
        <w:t xml:space="preserve">There are no UDM-specific additions to clause </w:t>
      </w:r>
      <w:r>
        <w:rPr>
          <w:color w:val="000000"/>
        </w:rPr>
        <w:t>4</w:t>
      </w:r>
      <w:r>
        <w:rPr>
          <w:color w:val="000000"/>
        </w:rPr>
        <w:t>.</w:t>
      </w:r>
      <w:r>
        <w:rPr>
          <w:color w:val="000000"/>
          <w:lang w:eastAsia="zh-CN"/>
        </w:rPr>
        <w:t>2</w:t>
      </w:r>
      <w:r>
        <w:rPr>
          <w:color w:val="000000"/>
        </w:rPr>
        <w:t>.6 of TS 33.117 [3].</w:t>
      </w:r>
      <w:r>
        <w:rPr>
          <w:lang w:eastAsia="zh-CN"/>
        </w:rPr>
        <w:t xml:space="preserve"> </w:t>
      </w:r>
    </w:p>
    <w:p>
      <w:pPr>
        <w:pStyle w:val="Heading3"/>
        <w:ind w:hanging="1134" w:left="1134"/>
        <w:rPr/>
      </w:pPr>
      <w:bookmarkStart w:id="56" w:name="__RefHeading___Toc153454930"/>
      <w:bookmarkEnd w:id="56"/>
      <w:r>
        <w:rPr/>
        <w:t>4.2.7</w:t>
        <w:tab/>
        <w:t>User plane security procedures</w:t>
      </w:r>
    </w:p>
    <w:p>
      <w:pPr>
        <w:pStyle w:val="Heading4"/>
        <w:rPr/>
      </w:pPr>
      <w:bookmarkStart w:id="57" w:name="__RefHeading___Toc153454931"/>
      <w:bookmarkEnd w:id="57"/>
      <w:r>
        <w:rPr/>
        <w:t>4.2.7.1</w:t>
        <w:tab/>
        <w:t>UP Security enforcement configuration for TSC service</w:t>
      </w:r>
    </w:p>
    <w:p>
      <w:pPr>
        <w:pStyle w:val="Normal"/>
        <w:rPr>
          <w:lang w:eastAsia="zh-CN"/>
        </w:rPr>
      </w:pPr>
      <w:r>
        <w:rPr>
          <w:i/>
        </w:rPr>
        <w:t>Requirement Name</w:t>
      </w:r>
      <w:r>
        <w:rPr/>
        <w:t>: UP security enforcement configuration</w:t>
      </w:r>
    </w:p>
    <w:p>
      <w:pPr>
        <w:pStyle w:val="Normal"/>
        <w:rPr/>
      </w:pPr>
      <w:r>
        <w:rPr>
          <w:i/>
        </w:rPr>
        <w:t xml:space="preserve">Requirement Reference: </w:t>
      </w:r>
      <w:r>
        <w:rPr/>
        <w:t>TS 33.501 [2], clause L.3, TS 23.501 [5], clause 5.10.3.</w:t>
      </w:r>
    </w:p>
    <w:p>
      <w:pPr>
        <w:pStyle w:val="Normal"/>
        <w:rPr/>
      </w:pPr>
      <w:r>
        <w:rPr>
          <w:i/>
        </w:rPr>
        <w:t>Requirement Description</w:t>
      </w:r>
      <w:r>
        <w:rPr/>
        <w:t xml:space="preserve">: </w:t>
      </w:r>
    </w:p>
    <w:p>
      <w:pPr>
        <w:pStyle w:val="Normal"/>
        <w:rPr/>
      </w:pPr>
      <w:r>
        <w:rPr/>
        <w:t xml:space="preserve">"After the 5GS TSC-enabled UE is authenticated and data connection is set up, any data received from a TSC bridge or another 5GS TSC-enabled UE shall be transported between DS-TT (in the UE) and NW-TT (in the UPF) in a protected way using the mechanisms for UP security as described in clause 6.6. </w:t>
      </w:r>
    </w:p>
    <w:p>
      <w:pPr>
        <w:pStyle w:val="Normal"/>
        <w:rPr/>
      </w:pPr>
      <w:r>
        <w:rPr/>
        <w:t>The UP security enforcement information shall be set to "required" for data transferred from gNB to a 5GS TSC-enabled UE. This is also applicable to the gPTP messages sent in the user plane."</w:t>
      </w:r>
    </w:p>
    <w:p>
      <w:pPr>
        <w:pStyle w:val="Normal"/>
        <w:rPr/>
      </w:pPr>
      <w:r>
        <w:rPr>
          <w:lang w:eastAsia="zh-CN"/>
        </w:rPr>
        <w:t xml:space="preserve">as specified in </w:t>
      </w:r>
      <w:r>
        <w:rPr/>
        <w:t>TS 33.501 [2], clause L.3.</w:t>
      </w:r>
    </w:p>
    <w:p>
      <w:pPr>
        <w:pStyle w:val="Normal"/>
        <w:rPr/>
      </w:pPr>
      <w:r>
        <w:rPr/>
        <w:t>"The SMF determines at PDU session establishment a User Plane Security Enforcement information for the user plane of a PDU session based on:</w:t>
      </w:r>
    </w:p>
    <w:p>
      <w:pPr>
        <w:pStyle w:val="B1"/>
        <w:rPr/>
      </w:pPr>
      <w:r>
        <w:rPr/>
        <w:t>-</w:t>
        <w:tab/>
        <w:t>subscribed User Plane Security Policy which is part of SM subscription information received from UDM; and</w:t>
      </w:r>
    </w:p>
    <w:p>
      <w:pPr>
        <w:pStyle w:val="B1"/>
        <w:rPr/>
      </w:pPr>
      <w:r>
        <w:rPr/>
        <w:t>-</w:t>
        <w:tab/>
        <w:t>User Plane Security Policy locally configured per (DNN, S-NSSAI) in the SMF that is used when the UDM does not provide User Plane Security Policy information.</w:t>
      </w:r>
    </w:p>
    <w:p>
      <w:pPr>
        <w:pStyle w:val="B1"/>
        <w:rPr/>
      </w:pPr>
      <w:r>
        <w:rPr/>
        <w:t>-</w:t>
        <w:tab/>
        <w:t>The maximum supported data rate per UE for integrity protection for the DRBs, provided by the UE in the Integrity protection maximum data rate IE during PDU Session Establishment. The UE supporting NR as primary RAT, i.e. NG-RAN access via Standalone NR, shall set the Integrity protection maximum data rate IE for Uplink and Downlink to full rate at PDU Session Establishment as defined in TS 24.501 [47]."</w:t>
      </w:r>
    </w:p>
    <w:p>
      <w:pPr>
        <w:pStyle w:val="Normal"/>
        <w:rPr/>
      </w:pPr>
      <w:r>
        <w:rPr>
          <w:lang w:eastAsia="zh-CN"/>
        </w:rPr>
        <w:t xml:space="preserve">as specified in </w:t>
      </w:r>
      <w:r>
        <w:rPr/>
        <w:t>TS 23.501 [5], clause 5.10.3.</w:t>
      </w:r>
    </w:p>
    <w:p>
      <w:pPr>
        <w:pStyle w:val="Normal"/>
        <w:rPr/>
      </w:pPr>
      <w:r>
        <w:rPr>
          <w:i/>
        </w:rPr>
        <w:t>Threat References</w:t>
      </w:r>
      <w:r>
        <w:rPr/>
        <w:t>: TR 33.926 [4].</w:t>
      </w:r>
    </w:p>
    <w:p>
      <w:pPr>
        <w:pStyle w:val="NO"/>
        <w:rPr/>
      </w:pPr>
      <w:r>
        <w:rPr>
          <w:lang w:eastAsia="zh-CN"/>
        </w:rPr>
        <w:t>NOTE:</w:t>
        <w:tab/>
        <w:t xml:space="preserve">The test case below only applies to the UDMs which support the setting and providing of User Plane Security Policy for dedicated TSC service. </w:t>
      </w:r>
    </w:p>
    <w:p>
      <w:pPr>
        <w:pStyle w:val="Normal"/>
        <w:rPr/>
      </w:pPr>
      <w:r>
        <w:rPr>
          <w:i/>
        </w:rPr>
        <w:t>Test Case</w:t>
      </w:r>
      <w:r>
        <w:rPr/>
        <w:t>:</w:t>
      </w:r>
    </w:p>
    <w:p>
      <w:pPr>
        <w:pStyle w:val="Normal"/>
        <w:rPr>
          <w:b/>
          <w:lang w:eastAsia="zh-CN"/>
        </w:rPr>
      </w:pPr>
      <w:r>
        <w:rPr/>
        <w:t xml:space="preserve">Test Name: TC_UP_SECURITY_ENFORCEMENT_CONFIGURATION </w:t>
      </w:r>
    </w:p>
    <w:p>
      <w:pPr>
        <w:pStyle w:val="Normal"/>
        <w:rPr>
          <w:b/>
          <w:lang w:eastAsia="zh-CN"/>
        </w:rPr>
      </w:pPr>
      <w:r>
        <w:rPr>
          <w:b/>
          <w:lang w:eastAsia="zh-CN"/>
        </w:rPr>
        <w:t>Purpose:</w:t>
      </w:r>
    </w:p>
    <w:p>
      <w:pPr>
        <w:pStyle w:val="Normal"/>
        <w:rPr/>
      </w:pPr>
      <w:r>
        <w:rPr>
          <w:lang w:eastAsia="zh-CN"/>
        </w:rPr>
        <w:t xml:space="preserve">Verify that </w:t>
      </w:r>
      <w:r>
        <w:rPr/>
        <w:t>UP security enforcement information is set to "required" for dedicated TSC service</w:t>
      </w:r>
      <w:r>
        <w:rPr>
          <w:lang w:eastAsia="zh-CN"/>
        </w:rPr>
        <w:t xml:space="preserve">. </w:t>
      </w:r>
    </w:p>
    <w:p>
      <w:pPr>
        <w:pStyle w:val="Normal"/>
        <w:rPr>
          <w:b/>
          <w:lang w:eastAsia="zh-CN"/>
        </w:rPr>
      </w:pPr>
      <w:r>
        <w:rPr>
          <w:b/>
          <w:lang w:eastAsia="zh-CN"/>
        </w:rPr>
        <w:t>Pre-Conditions:</w:t>
      </w:r>
    </w:p>
    <w:p>
      <w:pPr>
        <w:pStyle w:val="Normal"/>
        <w:rPr>
          <w:lang w:eastAsia="zh-CN"/>
        </w:rPr>
      </w:pPr>
      <w:r>
        <w:rPr>
          <w:lang w:eastAsia="zh-CN"/>
        </w:rPr>
        <w:t xml:space="preserve">Test environment with SMF. The SMF may be simulated. </w:t>
      </w:r>
    </w:p>
    <w:p>
      <w:pPr>
        <w:pStyle w:val="Normal"/>
        <w:rPr/>
      </w:pPr>
      <w:r>
        <w:rPr>
          <w:lang w:eastAsia="zh-CN"/>
        </w:rPr>
        <w:t>A dedicated DNN/S-NSSAI combination is defined to identify the TSC service.</w:t>
      </w:r>
    </w:p>
    <w:p>
      <w:pPr>
        <w:pStyle w:val="Normal"/>
        <w:rPr>
          <w:lang w:eastAsia="zh-CN"/>
        </w:rPr>
      </w:pPr>
      <w:r>
        <w:rPr>
          <w:lang w:eastAsia="zh-CN"/>
        </w:rPr>
        <w:t>The security policy is configured in the UDM.</w:t>
      </w:r>
    </w:p>
    <w:p>
      <w:pPr>
        <w:pStyle w:val="Normal"/>
        <w:rPr>
          <w:b/>
          <w:lang w:eastAsia="zh-CN"/>
        </w:rPr>
      </w:pPr>
      <w:r>
        <w:rPr>
          <w:b/>
          <w:lang w:eastAsia="zh-CN"/>
        </w:rPr>
        <w:t>Execution Steps</w:t>
      </w:r>
    </w:p>
    <w:p>
      <w:pPr>
        <w:pStyle w:val="B1"/>
        <w:rPr/>
      </w:pPr>
      <w:r>
        <w:rPr>
          <w:lang w:eastAsia="zh-CN"/>
        </w:rPr>
        <w:t>1.</w:t>
        <w:tab/>
        <w:t xml:space="preserve">During the PDU session establishment procedure, the SMF sends </w:t>
      </w:r>
      <w:r>
        <w:rPr/>
        <w:t xml:space="preserve">a Nudm_SDM_Get Request message to the UDM under test with a </w:t>
      </w:r>
      <w:r>
        <w:rPr>
          <w:lang w:eastAsia="zh-CN"/>
        </w:rPr>
        <w:t>dedicated DNN/S-NSSAI combination.</w:t>
      </w:r>
    </w:p>
    <w:p>
      <w:pPr>
        <w:pStyle w:val="B1"/>
        <w:rPr>
          <w:lang w:eastAsia="zh-CN"/>
        </w:rPr>
      </w:pPr>
      <w:r>
        <w:rPr>
          <w:lang w:eastAsia="zh-CN"/>
        </w:rPr>
        <w:t>2.</w:t>
        <w:tab/>
        <w:t xml:space="preserve">The UDM under test sends the </w:t>
      </w:r>
      <w:r>
        <w:rPr/>
        <w:t>Nudm_SDM_Get Response back to the SMF with UP security enforcement information.</w:t>
      </w:r>
    </w:p>
    <w:p>
      <w:pPr>
        <w:pStyle w:val="Normal"/>
        <w:rPr>
          <w:b/>
          <w:lang w:eastAsia="zh-CN"/>
        </w:rPr>
      </w:pPr>
      <w:r>
        <w:rPr>
          <w:b/>
          <w:lang w:eastAsia="zh-CN"/>
        </w:rPr>
        <w:t>Expected Results:</w:t>
      </w:r>
    </w:p>
    <w:p>
      <w:pPr>
        <w:pStyle w:val="Normal"/>
        <w:rPr/>
      </w:pPr>
      <w:r>
        <w:rPr/>
        <w:t>The confidentiality and integrity protection requirements of the UP security enforcement information are set to "required".</w:t>
      </w:r>
    </w:p>
    <w:p>
      <w:pPr>
        <w:pStyle w:val="Normal"/>
        <w:rPr/>
      </w:pPr>
      <w:r>
        <w:rPr>
          <w:rFonts w:cs="Arial"/>
          <w:b/>
          <w:color w:val="000000"/>
        </w:rPr>
        <w:t>Expected format of evidence:</w:t>
      </w:r>
    </w:p>
    <w:p>
      <w:pPr>
        <w:pStyle w:val="Normal"/>
        <w:rPr/>
      </w:pPr>
      <w:r>
        <w:rPr/>
        <w:t>Save the logs and the communication flow in a .pcap file.</w:t>
      </w:r>
    </w:p>
    <w:p>
      <w:pPr>
        <w:pStyle w:val="Heading3"/>
        <w:ind w:hanging="1134" w:left="1134"/>
        <w:rPr/>
      </w:pPr>
      <w:bookmarkStart w:id="58" w:name="__RefHeading___Toc153454932"/>
      <w:bookmarkEnd w:id="58"/>
      <w:r>
        <w:rPr/>
        <w:t>4.2.8</w:t>
        <w:tab/>
        <w:t>User plane security procedures</w:t>
      </w:r>
    </w:p>
    <w:p>
      <w:pPr>
        <w:pStyle w:val="Heading4"/>
        <w:rPr/>
      </w:pPr>
      <w:bookmarkStart w:id="59" w:name="__RefHeading___Toc153454933"/>
      <w:bookmarkEnd w:id="59"/>
      <w:r>
        <w:rPr/>
        <w:t>4.2.8.1</w:t>
        <w:tab/>
        <w:t>UP security policy configuration for 5G LAN service</w:t>
      </w:r>
    </w:p>
    <w:p>
      <w:pPr>
        <w:pStyle w:val="Normal"/>
        <w:rPr>
          <w:lang w:eastAsia="zh-CN"/>
        </w:rPr>
      </w:pPr>
      <w:r>
        <w:rPr>
          <w:i/>
        </w:rPr>
        <w:t>Requirement Name</w:t>
      </w:r>
      <w:r>
        <w:rPr/>
        <w:t>: UP security enforcement configuration</w:t>
      </w:r>
    </w:p>
    <w:p>
      <w:pPr>
        <w:pStyle w:val="Normal"/>
        <w:rPr/>
      </w:pPr>
      <w:r>
        <w:rPr>
          <w:i/>
        </w:rPr>
        <w:t xml:space="preserve">Requirement Reference: </w:t>
      </w:r>
      <w:r>
        <w:rPr/>
        <w:t>TS 33.501 [2], clause K.3, TS 23.501 [5], clause 5.10.3.</w:t>
      </w:r>
    </w:p>
    <w:p>
      <w:pPr>
        <w:pStyle w:val="Normal"/>
        <w:rPr/>
      </w:pPr>
      <w:r>
        <w:rPr>
          <w:i/>
        </w:rPr>
        <w:t>Requirement Description</w:t>
      </w:r>
      <w:r>
        <w:rPr/>
        <w:t xml:space="preserve">: "To reduce incremental complexity added by security, </w:t>
      </w:r>
      <w:r>
        <w:rPr>
          <w:lang w:val="en-US"/>
        </w:rPr>
        <w:t xml:space="preserve">all PDU sessions associated with a specific 5G LAN group should have the same UP security policy. </w:t>
      </w:r>
      <w:r>
        <w:rPr/>
        <w:t>When generating the policy enforcement information, and to avoid the redundant double protection, the SMF may consider information by a DN-AAA about DN protection mechanisms already applied."</w:t>
      </w:r>
    </w:p>
    <w:p>
      <w:pPr>
        <w:pStyle w:val="Normal"/>
        <w:rPr/>
      </w:pPr>
      <w:r>
        <w:rPr>
          <w:lang w:eastAsia="zh-CN"/>
        </w:rPr>
        <w:t xml:space="preserve">as specified in </w:t>
      </w:r>
      <w:r>
        <w:rPr/>
        <w:t>TS 33.501 [2], clause K.3.</w:t>
      </w:r>
    </w:p>
    <w:p>
      <w:pPr>
        <w:pStyle w:val="Normal"/>
        <w:rPr/>
      </w:pPr>
      <w:r>
        <w:rPr/>
        <w:t>"The SMF determines at PDU session establishment a User Plane Security Enforcement information for the user plane of a PDU session based on:</w:t>
      </w:r>
    </w:p>
    <w:p>
      <w:pPr>
        <w:pStyle w:val="B1"/>
        <w:rPr/>
      </w:pPr>
      <w:r>
        <w:rPr/>
        <w:t>-</w:t>
        <w:tab/>
        <w:t>subscribed User Plane Security Policy which is part of SM subscription information received from UDM; and</w:t>
      </w:r>
    </w:p>
    <w:p>
      <w:pPr>
        <w:pStyle w:val="B1"/>
        <w:rPr/>
      </w:pPr>
      <w:r>
        <w:rPr/>
        <w:t>-</w:t>
        <w:tab/>
        <w:t>User Plane Security Policy locally configured per (DNN, S-NSSAI) in the SMF that is used when the UDM does not provide User Plane Security Policy information.</w:t>
      </w:r>
    </w:p>
    <w:p>
      <w:pPr>
        <w:pStyle w:val="B1"/>
        <w:rPr/>
      </w:pPr>
      <w:r>
        <w:rPr/>
        <w:t>-</w:t>
        <w:tab/>
        <w:t>The maximum supported data rate per UE for integrity protection for the DRBs, provided by the UE in the Integrity protection maximum data rate IE during PDU Session Establishment. The UE supporting NR as primary RAT, i.e. NG-RAN access via Standalone NR, shall set the Integrity protection maximum data rate IE for Uplink and Downlink to full rate at PDU Session Establishment as defined in TS 24.501 [47]."</w:t>
      </w:r>
    </w:p>
    <w:p>
      <w:pPr>
        <w:pStyle w:val="Normal"/>
        <w:rPr/>
      </w:pPr>
      <w:r>
        <w:rPr>
          <w:lang w:eastAsia="zh-CN"/>
        </w:rPr>
        <w:t xml:space="preserve">as specified in </w:t>
      </w:r>
      <w:r>
        <w:rPr/>
        <w:t>TS 23.501 [5], clause 5.10.3.</w:t>
      </w:r>
    </w:p>
    <w:p>
      <w:pPr>
        <w:pStyle w:val="Normal"/>
        <w:rPr/>
      </w:pPr>
      <w:r>
        <w:rPr>
          <w:i/>
        </w:rPr>
        <w:t>Threat References</w:t>
      </w:r>
      <w:r>
        <w:rPr/>
        <w:t>: TR 33.926 [4].</w:t>
      </w:r>
    </w:p>
    <w:p>
      <w:pPr>
        <w:pStyle w:val="NO"/>
        <w:rPr/>
      </w:pPr>
      <w:r>
        <w:rPr>
          <w:lang w:eastAsia="zh-CN"/>
        </w:rPr>
        <w:t>NOTE 1:</w:t>
        <w:tab/>
        <w:t xml:space="preserve">The test case below only applies to the UDMs which support the setting and providing of User Plane Security Policy for 5G LAN service. </w:t>
      </w:r>
    </w:p>
    <w:p>
      <w:pPr>
        <w:pStyle w:val="Normal"/>
        <w:rPr/>
      </w:pPr>
      <w:r>
        <w:rPr>
          <w:i/>
        </w:rPr>
        <w:t>Test Case</w:t>
      </w:r>
      <w:r>
        <w:rPr/>
        <w:t xml:space="preserve">: </w:t>
      </w:r>
    </w:p>
    <w:p>
      <w:pPr>
        <w:pStyle w:val="Normal"/>
        <w:rPr>
          <w:b/>
          <w:lang w:eastAsia="zh-CN"/>
        </w:rPr>
      </w:pPr>
      <w:r>
        <w:rPr/>
        <w:t>Test Name: TC_UP_SECURITY_ENFORCEMENT_CONFIGURATION_FOR_5G_LAN</w:t>
      </w:r>
    </w:p>
    <w:p>
      <w:pPr>
        <w:pStyle w:val="Normal"/>
        <w:rPr>
          <w:b/>
          <w:lang w:eastAsia="zh-CN"/>
        </w:rPr>
      </w:pPr>
      <w:r>
        <w:rPr>
          <w:b/>
          <w:lang w:eastAsia="zh-CN"/>
        </w:rPr>
        <w:t>Purpose:</w:t>
      </w:r>
    </w:p>
    <w:p>
      <w:pPr>
        <w:pStyle w:val="Normal"/>
        <w:rPr/>
      </w:pPr>
      <w:r>
        <w:rPr>
          <w:lang w:eastAsia="zh-CN"/>
        </w:rPr>
        <w:t xml:space="preserve">Verify that </w:t>
      </w:r>
      <w:r>
        <w:rPr/>
        <w:t>UP security policy is set to the same for all the 5G LAN UEs.</w:t>
      </w:r>
      <w:r>
        <w:rPr>
          <w:lang w:eastAsia="zh-CN"/>
        </w:rPr>
        <w:t xml:space="preserve"> </w:t>
      </w:r>
    </w:p>
    <w:p>
      <w:pPr>
        <w:pStyle w:val="Normal"/>
        <w:rPr>
          <w:b/>
          <w:lang w:eastAsia="zh-CN"/>
        </w:rPr>
      </w:pPr>
      <w:r>
        <w:rPr>
          <w:b/>
          <w:lang w:eastAsia="zh-CN"/>
        </w:rPr>
        <w:t>Pre-Conditions:</w:t>
      </w:r>
    </w:p>
    <w:p>
      <w:pPr>
        <w:pStyle w:val="Normal"/>
        <w:rPr>
          <w:lang w:eastAsia="zh-CN"/>
        </w:rPr>
      </w:pPr>
      <w:r>
        <w:rPr>
          <w:lang w:eastAsia="zh-CN"/>
        </w:rPr>
        <w:t xml:space="preserve">Test environment with SMF. The SMF may be simulated. </w:t>
      </w:r>
    </w:p>
    <w:p>
      <w:pPr>
        <w:pStyle w:val="Normal"/>
        <w:rPr/>
      </w:pPr>
      <w:r>
        <w:rPr>
          <w:lang w:eastAsia="zh-CN"/>
        </w:rPr>
        <w:t>A dedicated DNN/S-NSSAI combination is defined to identify the 5G LAN service.</w:t>
      </w:r>
    </w:p>
    <w:p>
      <w:pPr>
        <w:pStyle w:val="Normal"/>
        <w:rPr>
          <w:lang w:eastAsia="zh-CN"/>
        </w:rPr>
      </w:pPr>
      <w:r>
        <w:rPr>
          <w:lang w:eastAsia="zh-CN"/>
        </w:rPr>
        <w:t>The security policy of the 5G LAN service is configured in the UDM.</w:t>
      </w:r>
    </w:p>
    <w:p>
      <w:pPr>
        <w:pStyle w:val="Normal"/>
        <w:rPr>
          <w:b/>
          <w:lang w:eastAsia="zh-CN"/>
        </w:rPr>
      </w:pPr>
      <w:r>
        <w:rPr>
          <w:b/>
          <w:lang w:eastAsia="zh-CN"/>
        </w:rPr>
        <w:t>Execution Steps</w:t>
      </w:r>
    </w:p>
    <w:p>
      <w:pPr>
        <w:pStyle w:val="B1"/>
        <w:rPr/>
      </w:pPr>
      <w:r>
        <w:rPr>
          <w:lang w:eastAsia="zh-CN"/>
        </w:rPr>
        <w:t>1.</w:t>
        <w:tab/>
        <w:t xml:space="preserve">During the PDU session establishment procedure initiated by the UE1, the SMF1 sends </w:t>
      </w:r>
      <w:r>
        <w:rPr/>
        <w:t xml:space="preserve">a Nudm_SDM_Get Request message to the UDM under test with a </w:t>
      </w:r>
      <w:r>
        <w:rPr>
          <w:lang w:eastAsia="zh-CN"/>
        </w:rPr>
        <w:t>dedicated DNN/S-NSSAI combination, and SUPI1.</w:t>
      </w:r>
    </w:p>
    <w:p>
      <w:pPr>
        <w:pStyle w:val="B1"/>
        <w:rPr/>
      </w:pPr>
      <w:r>
        <w:rPr>
          <w:lang w:eastAsia="zh-CN"/>
        </w:rPr>
        <w:t>2.</w:t>
        <w:tab/>
        <w:t xml:space="preserve">The UDM under test sends the </w:t>
      </w:r>
      <w:r>
        <w:rPr/>
        <w:t>Nudm_SDM_Get Response back to the SMF1 with UP security policy1.</w:t>
      </w:r>
    </w:p>
    <w:p>
      <w:pPr>
        <w:pStyle w:val="B1"/>
        <w:rPr/>
      </w:pPr>
      <w:r>
        <w:rPr>
          <w:lang w:eastAsia="zh-CN"/>
        </w:rPr>
        <w:t>3.</w:t>
        <w:tab/>
        <w:t xml:space="preserve">During the PDU session establishment procedure initiated by the UE2, the SMF2 sends </w:t>
      </w:r>
      <w:r>
        <w:rPr/>
        <w:t xml:space="preserve">a Nudm_SDM_Get Request message to the UDM under test with a </w:t>
      </w:r>
      <w:r>
        <w:rPr>
          <w:lang w:eastAsia="zh-CN"/>
        </w:rPr>
        <w:t>dedicated DNN/S-NSSAI combination, and SUPI2.</w:t>
      </w:r>
    </w:p>
    <w:p>
      <w:pPr>
        <w:pStyle w:val="B1"/>
        <w:rPr/>
      </w:pPr>
      <w:r>
        <w:rPr>
          <w:lang w:eastAsia="zh-CN"/>
        </w:rPr>
        <w:t>4.</w:t>
        <w:tab/>
        <w:t xml:space="preserve">The UDM under test sends the </w:t>
      </w:r>
      <w:r>
        <w:rPr/>
        <w:t>Nudm_SDM_Get Response back to the SMF2 with UP security policy2.</w:t>
      </w:r>
    </w:p>
    <w:p>
      <w:pPr>
        <w:pStyle w:val="NO"/>
        <w:rPr/>
      </w:pPr>
      <w:r>
        <w:rPr>
          <w:lang w:eastAsia="zh-CN"/>
        </w:rPr>
        <w:t>NOTE 2</w:t>
      </w:r>
      <w:r>
        <w:rPr/>
        <w:t>:</w:t>
        <w:tab/>
        <w:t>SMF1 and SMF2 could be the same network function.</w:t>
      </w:r>
    </w:p>
    <w:p>
      <w:pPr>
        <w:pStyle w:val="Normal"/>
        <w:rPr>
          <w:b/>
          <w:lang w:eastAsia="zh-CN"/>
        </w:rPr>
      </w:pPr>
      <w:r>
        <w:rPr>
          <w:b/>
          <w:lang w:eastAsia="zh-CN"/>
        </w:rPr>
        <w:t>Expected Results:</w:t>
      </w:r>
    </w:p>
    <w:p>
      <w:pPr>
        <w:pStyle w:val="Normal"/>
        <w:rPr/>
      </w:pPr>
      <w:r>
        <w:rPr/>
        <w:t>The confidentiality and integrity protection requirements of the UP security policy1 and UP security policy2 are the same.</w:t>
      </w:r>
    </w:p>
    <w:p>
      <w:pPr>
        <w:pStyle w:val="Normal"/>
        <w:rPr>
          <w:rFonts w:cs="Arial"/>
          <w:b/>
          <w:color w:val="000000"/>
        </w:rPr>
      </w:pPr>
      <w:r>
        <w:rPr>
          <w:rFonts w:cs="Arial"/>
          <w:b/>
          <w:color w:val="000000"/>
        </w:rPr>
        <w:t>Expected format of evidence:</w:t>
      </w:r>
    </w:p>
    <w:p>
      <w:pPr>
        <w:pStyle w:val="Normal"/>
        <w:rPr/>
      </w:pPr>
      <w:r>
        <w:rPr/>
        <w:t>Save the logs and the communication flow in a .pcap file.</w:t>
      </w:r>
    </w:p>
    <w:p>
      <w:pPr>
        <w:pStyle w:val="Normal"/>
        <w:rPr>
          <w:lang w:eastAsia="zh-CN"/>
        </w:rPr>
      </w:pPr>
      <w:r>
        <w:rPr>
          <w:lang w:eastAsia="zh-CN"/>
        </w:rPr>
      </w:r>
    </w:p>
    <w:p>
      <w:pPr>
        <w:pStyle w:val="Heading2"/>
        <w:keepNext w:val="false"/>
        <w:keepLines w:val="false"/>
        <w:suppressLineNumbers/>
        <w:suppressAutoHyphens w:val="true"/>
        <w:ind w:hanging="1134" w:left="1134"/>
        <w:rPr/>
      </w:pPr>
      <w:bookmarkStart w:id="60" w:name="__RefHeading___Toc153454934"/>
      <w:bookmarkEnd w:id="60"/>
      <w:r>
        <w:rPr/>
        <w:t>4.3</w:t>
        <w:tab/>
      </w:r>
      <w:r>
        <w:rPr>
          <w:lang w:eastAsia="zh-CN"/>
        </w:rPr>
        <w:t>UDM</w:t>
      </w:r>
      <w:r>
        <w:rPr/>
        <w:t>-specific adaptations of hardening requirements and related test cases</w:t>
      </w:r>
    </w:p>
    <w:p>
      <w:pPr>
        <w:pStyle w:val="Heading3"/>
        <w:ind w:hanging="1134" w:left="1134"/>
        <w:rPr/>
      </w:pPr>
      <w:bookmarkStart w:id="61" w:name="__RefHeading___Toc153454935"/>
      <w:bookmarkEnd w:id="61"/>
      <w:r>
        <w:rPr/>
        <w:t>4.3.1</w:t>
        <w:tab/>
        <w:t>Introduction</w:t>
      </w:r>
    </w:p>
    <w:p>
      <w:pPr>
        <w:pStyle w:val="Normal"/>
        <w:rPr/>
      </w:pPr>
      <w:r>
        <w:rPr>
          <w:lang w:eastAsia="zh-CN"/>
        </w:rPr>
        <w:t>The present clause contains UDM</w:t>
      </w:r>
      <w:r>
        <w:rPr/>
        <w:t xml:space="preserve">-specific </w:t>
      </w:r>
      <w:r>
        <w:rPr>
          <w:lang w:eastAsia="zh-CN"/>
        </w:rPr>
        <w:t xml:space="preserve">adaptations of </w:t>
      </w:r>
      <w:r>
        <w:rPr>
          <w:lang w:eastAsia="zh-CN"/>
        </w:rPr>
        <w:t xml:space="preserve">hardening </w:t>
      </w:r>
      <w:r>
        <w:rPr/>
        <w:t>requirements</w:t>
      </w:r>
      <w:r>
        <w:rPr>
          <w:lang w:eastAsia="zh-CN"/>
        </w:rPr>
        <w:t xml:space="preserve"> and related test cases</w:t>
      </w:r>
      <w:r>
        <w:rPr>
          <w:lang w:eastAsia="zh-CN"/>
        </w:rPr>
        <w:t>.</w:t>
      </w:r>
    </w:p>
    <w:p>
      <w:pPr>
        <w:pStyle w:val="Heading3"/>
        <w:ind w:hanging="1134" w:left="1134"/>
        <w:rPr/>
      </w:pPr>
      <w:bookmarkStart w:id="62" w:name="__RefHeading___Toc153454936"/>
      <w:bookmarkEnd w:id="62"/>
      <w:r>
        <w:rPr/>
        <w:t>4.3.2</w:t>
        <w:tab/>
        <w:t>Technical baseline</w:t>
      </w:r>
    </w:p>
    <w:p>
      <w:pPr>
        <w:pStyle w:val="Normal"/>
        <w:rPr/>
      </w:pPr>
      <w:r>
        <w:rPr>
          <w:color w:val="000000"/>
        </w:rPr>
        <w:t xml:space="preserve">There are no UDM-specific additions to clause </w:t>
      </w:r>
      <w:r>
        <w:rPr>
          <w:color w:val="000000"/>
        </w:rPr>
        <w:t>4</w:t>
      </w:r>
      <w:r>
        <w:rPr>
          <w:color w:val="000000"/>
        </w:rPr>
        <w:t>.</w:t>
      </w:r>
      <w:r>
        <w:rPr>
          <w:color w:val="000000"/>
          <w:lang w:eastAsia="zh-CN"/>
        </w:rPr>
        <w:t>3.2</w:t>
      </w:r>
      <w:r>
        <w:rPr>
          <w:color w:val="000000"/>
        </w:rPr>
        <w:t xml:space="preserve"> of TS 33.117 [3].</w:t>
      </w:r>
    </w:p>
    <w:p>
      <w:pPr>
        <w:pStyle w:val="Heading3"/>
        <w:ind w:hanging="1134" w:left="1134"/>
        <w:rPr/>
      </w:pPr>
      <w:bookmarkStart w:id="63" w:name="__RefHeading___Toc153454937"/>
      <w:bookmarkEnd w:id="63"/>
      <w:r>
        <w:rPr/>
        <w:t>4.3.3</w:t>
        <w:tab/>
        <w:t>Operating systems</w:t>
      </w:r>
    </w:p>
    <w:p>
      <w:pPr>
        <w:pStyle w:val="Normal"/>
        <w:rPr/>
      </w:pPr>
      <w:r>
        <w:rPr>
          <w:color w:val="000000"/>
        </w:rPr>
        <w:t xml:space="preserve">There are no UDM-specific additions to clause </w:t>
      </w:r>
      <w:r>
        <w:rPr>
          <w:color w:val="000000"/>
        </w:rPr>
        <w:t>4</w:t>
      </w:r>
      <w:r>
        <w:rPr>
          <w:color w:val="000000"/>
        </w:rPr>
        <w:t>.</w:t>
      </w:r>
      <w:r>
        <w:rPr>
          <w:color w:val="000000"/>
          <w:lang w:eastAsia="zh-CN"/>
        </w:rPr>
        <w:t>3.3</w:t>
      </w:r>
      <w:r>
        <w:rPr>
          <w:color w:val="000000"/>
        </w:rPr>
        <w:t xml:space="preserve"> of TS 33.117 [3].</w:t>
      </w:r>
    </w:p>
    <w:p>
      <w:pPr>
        <w:pStyle w:val="Heading3"/>
        <w:ind w:hanging="1134" w:left="1134"/>
        <w:rPr/>
      </w:pPr>
      <w:bookmarkStart w:id="64" w:name="__RefHeading___Toc153454938"/>
      <w:bookmarkEnd w:id="64"/>
      <w:r>
        <w:rPr/>
        <w:t>4.3.4</w:t>
        <w:tab/>
        <w:t>Web servers</w:t>
      </w:r>
    </w:p>
    <w:p>
      <w:pPr>
        <w:pStyle w:val="Normal"/>
        <w:rPr/>
      </w:pPr>
      <w:r>
        <w:rPr>
          <w:color w:val="000000"/>
        </w:rPr>
        <w:t xml:space="preserve">There are no UDM-specific additions to clause </w:t>
      </w:r>
      <w:r>
        <w:rPr>
          <w:color w:val="000000"/>
        </w:rPr>
        <w:t>4</w:t>
      </w:r>
      <w:r>
        <w:rPr>
          <w:color w:val="000000"/>
        </w:rPr>
        <w:t>.</w:t>
      </w:r>
      <w:r>
        <w:rPr>
          <w:color w:val="000000"/>
          <w:lang w:eastAsia="zh-CN"/>
        </w:rPr>
        <w:t>3.4</w:t>
      </w:r>
      <w:r>
        <w:rPr>
          <w:color w:val="000000"/>
        </w:rPr>
        <w:t xml:space="preserve"> of TS 33.117 [3].</w:t>
      </w:r>
    </w:p>
    <w:p>
      <w:pPr>
        <w:pStyle w:val="Heading3"/>
        <w:ind w:hanging="1134" w:left="1134"/>
        <w:rPr/>
      </w:pPr>
      <w:bookmarkStart w:id="65" w:name="__RefHeading___Toc153454939"/>
      <w:bookmarkEnd w:id="65"/>
      <w:r>
        <w:rPr/>
        <w:t>4.3.5</w:t>
        <w:tab/>
        <w:t>Network devices</w:t>
      </w:r>
    </w:p>
    <w:p>
      <w:pPr>
        <w:pStyle w:val="Normal"/>
        <w:rPr>
          <w:color w:val="000000"/>
        </w:rPr>
      </w:pPr>
      <w:r>
        <w:rPr>
          <w:color w:val="000000"/>
        </w:rPr>
        <w:t xml:space="preserve">There are no UDM-specific additions to clause </w:t>
      </w:r>
      <w:r>
        <w:rPr>
          <w:color w:val="000000"/>
        </w:rPr>
        <w:t>4</w:t>
      </w:r>
      <w:r>
        <w:rPr>
          <w:color w:val="000000"/>
        </w:rPr>
        <w:t>.</w:t>
      </w:r>
      <w:r>
        <w:rPr>
          <w:color w:val="000000"/>
          <w:lang w:eastAsia="zh-CN"/>
        </w:rPr>
        <w:t>3.5</w:t>
      </w:r>
      <w:r>
        <w:rPr>
          <w:color w:val="000000"/>
        </w:rPr>
        <w:t xml:space="preserve"> of TS 33.117 [3].</w:t>
      </w:r>
    </w:p>
    <w:p>
      <w:pPr>
        <w:pStyle w:val="Heading3"/>
        <w:ind w:hanging="1134" w:left="1134"/>
        <w:rPr/>
      </w:pPr>
      <w:bookmarkStart w:id="66" w:name="__RefHeading___Toc153454940"/>
      <w:bookmarkEnd w:id="66"/>
      <w:r>
        <w:rPr>
          <w:rFonts w:eastAsia="SimSun;宋体"/>
        </w:rPr>
        <w:t>4.3.6</w:t>
        <w:tab/>
        <w:t>Network functions in service-based architecture</w:t>
      </w:r>
    </w:p>
    <w:p>
      <w:pPr>
        <w:pStyle w:val="Normal"/>
        <w:rPr>
          <w:lang w:eastAsia="zh-CN"/>
        </w:rPr>
      </w:pPr>
      <w:r>
        <w:rPr>
          <w:lang w:eastAsia="zh-CN"/>
        </w:rPr>
        <w:t>There are no UDM-specific additions to clause 4.3.6 in TS 33.117 [3].</w:t>
      </w:r>
    </w:p>
    <w:p>
      <w:pPr>
        <w:pStyle w:val="Heading2"/>
        <w:keepNext w:val="false"/>
        <w:keepLines w:val="false"/>
        <w:suppressLineNumbers/>
        <w:suppressAutoHyphens w:val="true"/>
        <w:ind w:hanging="1134" w:left="1134"/>
        <w:rPr/>
      </w:pPr>
      <w:bookmarkStart w:id="67" w:name="__RefHeading___Toc153454941"/>
      <w:bookmarkEnd w:id="67"/>
      <w:r>
        <w:rPr/>
        <w:t>4.4</w:t>
        <w:tab/>
      </w:r>
      <w:r>
        <w:rPr>
          <w:lang w:eastAsia="zh-CN"/>
        </w:rPr>
        <w:t>UDM</w:t>
      </w:r>
      <w:r>
        <w:rPr/>
        <w:t>-specific adaptations of basic vulnerability testing requirements and related test cases</w:t>
      </w:r>
    </w:p>
    <w:p>
      <w:pPr>
        <w:pStyle w:val="Heading3"/>
        <w:ind w:hanging="1134" w:left="1134"/>
        <w:rPr>
          <w:rFonts w:eastAsia="MS Mincho;ＭＳ 明朝"/>
          <w:lang w:eastAsia="zh-CN"/>
        </w:rPr>
      </w:pPr>
      <w:bookmarkStart w:id="68" w:name="__RefHeading___Toc153454942"/>
      <w:bookmarkEnd w:id="68"/>
      <w:r>
        <w:rPr>
          <w:rFonts w:eastAsia="MS Mincho;ＭＳ 明朝"/>
        </w:rPr>
        <w:t>4.4.1</w:t>
        <w:tab/>
        <w:t>Introduction</w:t>
      </w:r>
    </w:p>
    <w:p>
      <w:pPr>
        <w:pStyle w:val="Normal"/>
        <w:spacing w:before="0" w:after="0"/>
        <w:rPr/>
      </w:pPr>
      <w:r>
        <w:rPr>
          <w:lang w:val="en-US" w:eastAsia="en-US"/>
        </w:rPr>
        <w:t>There are no UDM specific additions to clause 4.4.1 of TS 33.117 [3].</w:t>
      </w:r>
    </w:p>
    <w:p>
      <w:pPr>
        <w:pStyle w:val="Normal"/>
        <w:spacing w:before="0" w:after="0"/>
        <w:rPr>
          <w:lang w:val="en-US" w:eastAsia="en-US"/>
        </w:rPr>
      </w:pPr>
      <w:r>
        <w:rPr>
          <w:lang w:val="en-US" w:eastAsia="en-US"/>
        </w:rPr>
      </w:r>
    </w:p>
    <w:p>
      <w:pPr>
        <w:pStyle w:val="Heading3"/>
        <w:ind w:hanging="1134" w:left="1134"/>
        <w:rPr/>
      </w:pPr>
      <w:bookmarkStart w:id="69" w:name="__RefHeading___Toc153454943"/>
      <w:bookmarkEnd w:id="69"/>
      <w:r>
        <w:rPr>
          <w:rFonts w:eastAsia="MS Mincho;ＭＳ 明朝"/>
        </w:rPr>
        <w:t>4.4.2</w:t>
        <w:tab/>
      </w:r>
      <w:r>
        <w:rPr>
          <w:rFonts w:eastAsia="MS Mincho;ＭＳ 明朝"/>
          <w:lang w:eastAsia="zh-CN"/>
        </w:rPr>
        <w:t>Port scanning</w:t>
      </w:r>
    </w:p>
    <w:p>
      <w:pPr>
        <w:pStyle w:val="Normal"/>
        <w:spacing w:before="0" w:after="0"/>
        <w:rPr/>
      </w:pPr>
      <w:r>
        <w:rPr>
          <w:lang w:val="en-US" w:eastAsia="en-US"/>
        </w:rPr>
        <w:t>There are no UDM specific additions to clause 4.4.2 of TS 33.117 [3].</w:t>
      </w:r>
    </w:p>
    <w:p>
      <w:pPr>
        <w:pStyle w:val="Normal"/>
        <w:spacing w:before="0" w:after="0"/>
        <w:rPr>
          <w:lang w:val="en-US" w:eastAsia="en-US"/>
        </w:rPr>
      </w:pPr>
      <w:r>
        <w:rPr>
          <w:lang w:val="en-US" w:eastAsia="en-US"/>
        </w:rPr>
      </w:r>
    </w:p>
    <w:p>
      <w:pPr>
        <w:pStyle w:val="Heading3"/>
        <w:ind w:hanging="1134" w:left="1134"/>
        <w:rPr/>
      </w:pPr>
      <w:bookmarkStart w:id="70" w:name="__RefHeading___Toc153454944"/>
      <w:bookmarkEnd w:id="70"/>
      <w:r>
        <w:rPr>
          <w:rFonts w:eastAsia="MS Mincho;ＭＳ 明朝"/>
        </w:rPr>
        <w:t>4.4.3</w:t>
        <w:tab/>
      </w:r>
      <w:r>
        <w:rPr>
          <w:rFonts w:eastAsia="MS Mincho;ＭＳ 明朝"/>
          <w:lang w:eastAsia="zh-CN"/>
        </w:rPr>
        <w:t>Vulnerability scanning</w:t>
      </w:r>
    </w:p>
    <w:p>
      <w:pPr>
        <w:pStyle w:val="Normal"/>
        <w:spacing w:before="0" w:after="0"/>
        <w:rPr/>
      </w:pPr>
      <w:r>
        <w:rPr>
          <w:lang w:val="en-US" w:eastAsia="en-US"/>
        </w:rPr>
        <w:t>There are no UDM specific additions to clause 4.4.3 of TS 33.117 [3].</w:t>
      </w:r>
    </w:p>
    <w:p>
      <w:pPr>
        <w:pStyle w:val="Normal"/>
        <w:spacing w:before="0" w:after="0"/>
        <w:rPr>
          <w:lang w:val="en-US" w:eastAsia="en-US"/>
        </w:rPr>
      </w:pPr>
      <w:r>
        <w:rPr>
          <w:lang w:val="en-US" w:eastAsia="en-US"/>
        </w:rPr>
      </w:r>
    </w:p>
    <w:p>
      <w:pPr>
        <w:pStyle w:val="Heading3"/>
        <w:ind w:hanging="1134" w:left="1134"/>
        <w:rPr>
          <w:rFonts w:eastAsia="MS Mincho;ＭＳ 明朝"/>
        </w:rPr>
      </w:pPr>
      <w:bookmarkStart w:id="71" w:name="__RefHeading___Toc153454945"/>
      <w:r>
        <w:rPr>
          <w:rFonts w:eastAsia="MS Mincho;ＭＳ 明朝"/>
        </w:rPr>
        <w:t>4.4.4</w:t>
        <w:tab/>
        <w:t>Robustness and fuzz testing</w:t>
      </w:r>
      <w:bookmarkEnd w:id="71"/>
      <w:r>
        <w:rPr>
          <w:rFonts w:eastAsia="MS Mincho;ＭＳ 明朝"/>
        </w:rPr>
        <w:t xml:space="preserve"> </w:t>
      </w:r>
    </w:p>
    <w:p>
      <w:pPr>
        <w:pStyle w:val="Normal"/>
        <w:spacing w:before="0" w:after="0"/>
        <w:rPr>
          <w:lang w:val="en-US" w:eastAsia="en-US"/>
        </w:rPr>
      </w:pPr>
      <w:r>
        <w:rPr>
          <w:lang w:val="en-US" w:eastAsia="en-US"/>
        </w:rPr>
        <w:t>The test cases under clause 4.4.4 of TS 33.117 [3] are applicable to UDM.</w:t>
      </w:r>
    </w:p>
    <w:p>
      <w:pPr>
        <w:pStyle w:val="Normal"/>
        <w:spacing w:before="0" w:after="0"/>
        <w:rPr>
          <w:lang w:val="en-US" w:eastAsia="en-US"/>
        </w:rPr>
      </w:pPr>
      <w:r>
        <w:rPr>
          <w:lang w:val="en-US" w:eastAsia="en-US"/>
        </w:rPr>
      </w:r>
    </w:p>
    <w:p>
      <w:pPr>
        <w:pStyle w:val="Normal"/>
        <w:spacing w:before="0" w:after="0"/>
        <w:rPr>
          <w:lang w:val="en-US" w:eastAsia="en-US"/>
        </w:rPr>
      </w:pPr>
      <w:r>
        <w:rPr>
          <w:lang w:val="en-US" w:eastAsia="en-US"/>
        </w:rPr>
        <w:t>The interfaces defined for the UDM are in clause 4.2.3 of TS 23.501 [5].</w:t>
      </w:r>
    </w:p>
    <w:p>
      <w:pPr>
        <w:pStyle w:val="Normal"/>
        <w:spacing w:before="0" w:after="0"/>
        <w:rPr>
          <w:lang w:val="en-US" w:eastAsia="en-US"/>
        </w:rPr>
      </w:pPr>
      <w:r>
        <w:rPr>
          <w:lang w:val="en-US" w:eastAsia="en-US"/>
        </w:rPr>
      </w:r>
    </w:p>
    <w:p>
      <w:pPr>
        <w:pStyle w:val="Normal"/>
        <w:spacing w:before="0" w:after="0"/>
        <w:rPr/>
      </w:pPr>
      <w:r>
        <w:rPr>
          <w:lang w:val="en-US" w:eastAsia="en-US"/>
        </w:rPr>
        <w:t>According to clause 4.4.4 of TS 33.117 [3], the transport protocols available on the interfaces providing IP-based protocols need to be robustness tested. Following TCP/IP</w:t>
      </w:r>
      <w:r>
        <w:rPr>
          <w:lang w:val="en-US" w:eastAsia="en-US"/>
        </w:rPr>
        <w:t xml:space="preserve"> layer model and c</w:t>
      </w:r>
      <w:r>
        <w:rPr>
          <w:lang w:val="en-US" w:eastAsia="en-US"/>
        </w:rPr>
        <w:t>onsidering all the protocols over transport layer, for UDM, the following interface and protocols are in the scope of the testing:</w:t>
      </w:r>
    </w:p>
    <w:p>
      <w:pPr>
        <w:pStyle w:val="Normal"/>
        <w:spacing w:before="0" w:after="0"/>
        <w:rPr>
          <w:lang w:val="en-US" w:eastAsia="en-US"/>
        </w:rPr>
      </w:pPr>
      <w:r>
        <w:rPr>
          <w:lang w:val="en-US" w:eastAsia="en-US"/>
        </w:rPr>
      </w:r>
    </w:p>
    <w:p>
      <w:pPr>
        <w:pStyle w:val="B1"/>
        <w:rPr/>
      </w:pPr>
      <w:r>
        <w:rPr>
          <w:lang w:val="en-US" w:eastAsia="en-US"/>
        </w:rPr>
        <w:t>-</w:t>
        <w:tab/>
        <w:t>For Nudm</w:t>
      </w:r>
      <w:r>
        <w:rPr>
          <w:lang w:val="en-US" w:eastAsia="en-US"/>
        </w:rPr>
        <w:t xml:space="preserve">: The TCP, TLS, HTTP2 and JSON </w:t>
      </w:r>
      <w:r>
        <w:rPr>
          <w:lang w:val="en-US" w:eastAsia="en-US"/>
        </w:rPr>
        <w:t>protocols.</w:t>
      </w:r>
    </w:p>
    <w:p>
      <w:pPr>
        <w:pStyle w:val="Normal"/>
        <w:spacing w:before="0" w:after="0"/>
        <w:rPr>
          <w:lang w:val="en-US" w:eastAsia="en-US"/>
        </w:rPr>
      </w:pPr>
      <w:r>
        <w:rPr>
          <w:lang w:val="en-US" w:eastAsia="en-US"/>
        </w:rPr>
      </w:r>
    </w:p>
    <w:p>
      <w:pPr>
        <w:pStyle w:val="NO"/>
        <w:rPr>
          <w:lang w:val="en-US" w:eastAsia="en-US"/>
        </w:rPr>
      </w:pPr>
      <w:r>
        <w:rPr>
          <w:lang w:val="en-US" w:eastAsia="en-US"/>
        </w:rPr>
        <w:t>NOTE:</w:t>
        <w:tab/>
        <w:t>There could be other interfaces and/or protocols requiring testing under clause 4.4.4 of TS 33.117 [3].</w:t>
      </w:r>
    </w:p>
    <w:p>
      <w:pPr>
        <w:pStyle w:val="Normal"/>
        <w:rPr>
          <w:lang w:val="en-US" w:eastAsia="en-US"/>
        </w:rPr>
      </w:pPr>
      <w:r>
        <w:rPr>
          <w:lang w:val="en-US" w:eastAsia="en-US"/>
        </w:rPr>
      </w:r>
      <w:r>
        <w:br w:type="page"/>
      </w:r>
    </w:p>
    <w:p>
      <w:pPr>
        <w:pStyle w:val="Heading8"/>
        <w:rPr/>
      </w:pPr>
      <w:bookmarkStart w:id="72" w:name="__RefHeading___Toc153454946"/>
      <w:bookmarkEnd w:id="72"/>
      <w:r>
        <w:rPr/>
        <w:t>Annex A (informative):</w:t>
        <w:br/>
        <w:t>Change history</w:t>
      </w:r>
    </w:p>
    <w:tbl>
      <w:tblPr>
        <w:tblW w:w="9639" w:type="dxa"/>
        <w:jc w:val="left"/>
        <w:tblInd w:w="40" w:type="dxa"/>
        <w:tblLayout w:type="fixed"/>
        <w:tblCellMar>
          <w:top w:w="0" w:type="dxa"/>
          <w:left w:w="40" w:type="dxa"/>
          <w:bottom w:w="0" w:type="dxa"/>
          <w:right w:w="40" w:type="dxa"/>
        </w:tblCellMar>
      </w:tblPr>
      <w:tblGrid>
        <w:gridCol w:w="993"/>
        <w:gridCol w:w="708"/>
        <w:gridCol w:w="993"/>
        <w:gridCol w:w="567"/>
        <w:gridCol w:w="425"/>
        <w:gridCol w:w="425"/>
        <w:gridCol w:w="4820"/>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sz w:val="16"/>
              </w:rPr>
            </w:pPr>
            <w:r>
              <w:rPr>
                <w:b/>
              </w:rPr>
              <w:t>Change history</w:t>
            </w:r>
          </w:p>
        </w:tc>
      </w:tr>
      <w:tr>
        <w:trPr/>
        <w:tc>
          <w:tcPr>
            <w:tcW w:w="993"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993"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Change control version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16.0.0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2019-10</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EditHelp review</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16.0.1</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SA#86</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fldChar w:fldCharType="begin"/>
            </w:r>
            <w:r>
              <w:rPr>
                <w:sz w:val="16"/>
                <w:szCs w:val="16"/>
                <w:lang w:eastAsia="zh-CN"/>
              </w:rPr>
              <w:instrText xml:space="preserve"> DOCPROPERTY "CrTitle"</w:instrText>
            </w:r>
            <w:r>
              <w:rPr>
                <w:sz w:val="16"/>
                <w:szCs w:val="16"/>
                <w:lang w:eastAsia="zh-CN"/>
              </w:rPr>
              <w:fldChar w:fldCharType="separate"/>
            </w:r>
            <w:r>
              <w:rPr>
                <w:sz w:val="16"/>
                <w:szCs w:val="16"/>
                <w:lang w:eastAsia="zh-CN"/>
              </w:rPr>
              <w:t xml:space="preserve">Corrections for clean-up and alignment </w:t>
            </w:r>
            <w:r>
              <w:rPr>
                <w:sz w:val="16"/>
                <w:szCs w:val="16"/>
                <w:lang w:eastAsia="zh-CN"/>
              </w:rPr>
              <w:fldChar w:fldCharType="end"/>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16.1.0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SA#88E</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SP-200358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Update to the test case of Storing of UE authentication status by UDM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16.2.0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2020-09</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SA#89E</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SP-200703</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bookmarkStart w:id="73" w:name="OLE_LINK5"/>
            <w:r>
              <w:rPr>
                <w:sz w:val="16"/>
                <w:szCs w:val="16"/>
                <w:lang w:eastAsia="zh-CN"/>
              </w:rPr>
              <w:t>Clarification on the test cases if the UDM and AUSF are collocated</w:t>
            </w:r>
            <w:bookmarkEnd w:id="73"/>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16.3.0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2020-12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SA#90e</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SP-201004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Reference of general SBA/SBI aspect in 33.514</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16.4.0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2021-06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SA#92e</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SP-210440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CR to include R-16 feature of </w:t>
            </w:r>
            <w:r>
              <w:rPr>
                <w:sz w:val="16"/>
                <w:szCs w:val="16"/>
                <w:lang w:eastAsia="zh-CN"/>
              </w:rPr>
              <w:t>UDM</w:t>
            </w:r>
            <w:r>
              <w:rPr>
                <w:sz w:val="16"/>
                <w:szCs w:val="16"/>
                <w:lang w:eastAsia="zh-CN"/>
              </w:rPr>
              <w:t xml:space="preserve"> to 33.514</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17.0.0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Robustness interfaces and protocols defined for UDM</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18.0.0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0007</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SCAS release reference corrections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18.0.0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2023-09</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SA#101</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SP-230904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0009</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of UDM service naming</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18.1.0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SA#102</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SP-231339</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0010</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Added missing Test Name and Expected format of evidence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18.2.0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SA#102</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SP-231339</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Added UDM SCAS test cases for checking an invalid and uncompressed point in ECIES protection scheme for SUCI decryption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18.2.0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2024-06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SA#104</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SP-240669</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0018</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 xml:space="preserve">1 </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A</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to terms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18.3.0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2024-06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SA#104</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SP-240669</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0021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 xml:space="preserve">- </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A</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Correction to abbreviations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18.3.0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2024-06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SA#104</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SP-240669</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0024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 xml:space="preserve">- </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A</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Correction to test names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18.3.0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pPr>
            <w:r>
              <w:rPr>
                <w:sz w:val="16"/>
                <w:szCs w:val="16"/>
                <w:lang w:eastAsia="zh-CN"/>
              </w:rPr>
              <w:t>2024-06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SA#104</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SP-240668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0027</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 xml:space="preserve">- </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Editorial correction of TEST CASE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18.3.0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2024-06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SA#104</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SP-240668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0030</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 xml:space="preserve">- </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Fuzz TLS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18.3.0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SA#106</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SP-241798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sz w:val="16"/>
                <w:szCs w:val="16"/>
              </w:rPr>
              <w:t>0032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Updating test case about authentication status of UE by UDM</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19.0.0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2025-07</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SA#108</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SP-250657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0034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Clean up of 33.514</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19.1.0</w:t>
            </w:r>
          </w:p>
        </w:tc>
      </w:tr>
    </w:tbl>
    <w:p>
      <w:pPr>
        <w:pStyle w:val="Normal"/>
        <w:spacing w:before="0" w:after="180"/>
        <w:rPr/>
      </w:pPr>
      <w:r>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Tahoma">
    <w:charset w:val="00"/>
    <w:family w:val="swiss"/>
    <w:pitch w:val="variable"/>
  </w:font>
  <w:font w:name="Segoe UI">
    <w:charset w:val="00"/>
    <w:family w:val="swiss"/>
    <w:pitch w:val="variable"/>
  </w:font>
  <w:font w:name="Calibri Light">
    <w:charset w:val="00"/>
    <w:family w:val="swiss"/>
    <w:pitch w:val="variable"/>
  </w:font>
  <w:font w:name="Calibri">
    <w:charset w:val="00"/>
    <w:family w:val="swiss"/>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4445</wp:posOffset>
              </wp:positionV>
              <wp:extent cx="14605"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3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737"/>
        </w:tabs>
        <w:ind w:left="737" w:hanging="453"/>
      </w:pPr>
      <w:rPr>
        <w:rFonts w:ascii="Symbol" w:hAnsi="Symbol" w:cs="Symbol" w:hint="default"/>
        <w:color w:val="000000"/>
      </w:rPr>
    </w:lvl>
  </w:abstractNum>
  <w:abstractNum w:abstractNumId="6">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50"/>
  <w:defaultTabStop w:val="284"/>
  <w:autoHyphenation w:val="true"/>
  <w:compat>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hanging="1134" w:left="1134" w:right="0"/>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5z0">
    <w:name w:val="WW8Num15z0"/>
    <w:qFormat/>
    <w:rPr>
      <w:rFonts w:ascii="Symbol" w:hAnsi="Symbol" w:cs="Symbol"/>
      <w:color w:val="000000"/>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Times New Roman" w:hAnsi="Times New Roman" w:eastAsia="SimSun;宋体" w:cs="Times New Roman"/>
      <w:b/>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CommentReference">
    <w:name w:val="Comment Reference"/>
    <w:qFormat/>
    <w:rPr>
      <w:sz w:val="16"/>
      <w:szCs w:val="16"/>
    </w:rPr>
  </w:style>
  <w:style w:type="character" w:styleId="BalloonTextChar">
    <w:name w:val="Balloon Text Char"/>
    <w:qFormat/>
    <w:rPr>
      <w:rFonts w:ascii="Tahoma" w:hAnsi="Tahoma" w:cs="Tahoma"/>
      <w:sz w:val="16"/>
      <w:szCs w:val="16"/>
    </w:rPr>
  </w:style>
  <w:style w:type="character" w:styleId="EditorsNoteChar">
    <w:name w:val="Editor's Note Char"/>
    <w:qFormat/>
    <w:rPr>
      <w:color w:val="FF0000"/>
    </w:rPr>
  </w:style>
  <w:style w:type="character" w:styleId="Heading3Char">
    <w:name w:val="Heading 3 Char"/>
    <w:qFormat/>
    <w:rPr>
      <w:rFonts w:ascii="Arial" w:hAnsi="Arial" w:cs="Arial"/>
      <w:sz w:val="28"/>
    </w:rPr>
  </w:style>
  <w:style w:type="character" w:styleId="B1Char">
    <w:name w:val="B1 Char"/>
    <w:qFormat/>
    <w:rPr/>
  </w:style>
  <w:style w:type="character" w:styleId="EXChar">
    <w:name w:val="EX Char"/>
    <w:qFormat/>
    <w:rPr/>
  </w:style>
  <w:style w:type="character" w:styleId="FootnoteCharacters">
    <w:name w:val="Footnote Characters"/>
    <w:qFormat/>
    <w:rPr>
      <w:b/>
      <w:sz w:val="16"/>
      <w:vertAlign w:val="superscript"/>
    </w:rPr>
  </w:style>
  <w:style w:type="character" w:styleId="FootnoteTextChar">
    <w:name w:val="Footnote Text Char"/>
    <w:qFormat/>
    <w:rPr>
      <w:sz w:val="16"/>
    </w:rPr>
  </w:style>
  <w:style w:type="character" w:styleId="CommentTextChar">
    <w:name w:val="Comment Text Char"/>
    <w:qFormat/>
    <w:rPr/>
  </w:style>
  <w:style w:type="character" w:styleId="CommentSubjectChar">
    <w:name w:val="Comment Subject Char"/>
    <w:qFormat/>
    <w:rPr>
      <w:b/>
      <w:bCs/>
    </w:rPr>
  </w:style>
  <w:style w:type="character" w:styleId="B1Car">
    <w:name w:val="B1+ Car"/>
    <w:qFormat/>
    <w:rPr/>
  </w:style>
  <w:style w:type="character" w:styleId="Heading2Char">
    <w:name w:val="Heading 2 Char"/>
    <w:qFormat/>
    <w:rPr>
      <w:rFonts w:ascii="Arial" w:hAnsi="Arial" w:cs="Arial"/>
      <w:sz w:val="32"/>
    </w:rPr>
  </w:style>
  <w:style w:type="character" w:styleId="NOChar">
    <w:name w:val="NO Char"/>
    <w:qFormat/>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DocumentMapChar">
    <w:name w:val="Document Map Char"/>
    <w:qFormat/>
    <w:rPr>
      <w:rFonts w:ascii="Segoe UI" w:hAnsi="Segoe UI" w:cs="Segoe UI"/>
      <w:sz w:val="16"/>
      <w:szCs w:val="16"/>
    </w:rPr>
  </w:style>
  <w:style w:type="character" w:styleId="E-mailSignatureChar">
    <w:name w:val="E-mail Signature Char"/>
    <w:qFormat/>
    <w:rPr/>
  </w:style>
  <w:style w:type="character" w:styleId="EndnoteTextChar">
    <w:name w:val="End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cs="Calibri Light"/>
      <w:sz w:val="24"/>
      <w:szCs w:val="24"/>
    </w:rPr>
  </w:style>
  <w:style w:type="character" w:styleId="TitleChar">
    <w:name w:val="Title Char"/>
    <w:qFormat/>
    <w:rPr>
      <w:rFonts w:ascii="Calibri Light" w:hAnsi="Calibri Light" w:cs="Calibri Light"/>
      <w:b/>
      <w:bCs/>
      <w:kern w:val="2"/>
      <w:sz w:val="32"/>
      <w:szCs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cs="Calibri Light"/>
      <w:b/>
      <w:bCs/>
      <w:kern w:val="2"/>
      <w:sz w:val="32"/>
      <w:szCs w:val="32"/>
    </w:rPr>
  </w:style>
  <w:style w:type="paragraph" w:styleId="BodyText">
    <w:name w:val="Body Text"/>
    <w:basedOn w:val="Normal"/>
    <w:pPr>
      <w:spacing w:before="0" w:after="120"/>
    </w:pPr>
    <w:rPr/>
  </w:style>
  <w:style w:type="paragraph" w:styleId="List">
    <w:name w:val="List"/>
    <w:basedOn w:val="Normal"/>
    <w:pPr>
      <w:ind w:hanging="284" w:left="568" w:right="0"/>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Lines/>
      <w:widowControl w:val="false"/>
      <w:tabs>
        <w:tab w:val="clear" w:pos="284"/>
        <w:tab w:val="right" w:pos="9639" w:leader="dot"/>
      </w:tabs>
      <w:overflowPunct w:val="false"/>
      <w:autoSpaceDE w:val="false"/>
      <w:bidi w:val="0"/>
      <w:spacing w:before="120" w:after="0"/>
      <w:ind w:hanging="567" w:left="567" w:right="425"/>
      <w:textAlignment w:val="baseline"/>
    </w:pPr>
    <w:rPr>
      <w:rFonts w:ascii="Times New Roman" w:hAnsi="Times New Roman" w:eastAsia="Times New Roman"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bidi="ar-SA" w:eastAsia="zh-CN"/>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TOC2">
    <w:name w:val="TOC 2"/>
    <w:basedOn w:val="TOC1"/>
    <w:pPr>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hanging="0" w:left="0" w:right="28"/>
      <w:jc w:val="right"/>
      <w:textAlignment w:val="baseline"/>
    </w:pPr>
    <w:rPr>
      <w:rFonts w:ascii="Arial" w:hAnsi="Arial" w:eastAsia="Times New Roman" w:cs="Arial"/>
      <w:i/>
      <w:color w:val="auto"/>
      <w:sz w:val="20"/>
      <w:szCs w:val="20"/>
      <w:lang w:val="en-GB"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Bullet2">
    <w:name w:val="List Bullet 2"/>
    <w:basedOn w:val="List"/>
    <w:pPr>
      <w:ind w:hanging="284" w:left="851" w:right="0"/>
    </w:pPr>
    <w:rPr/>
  </w:style>
  <w:style w:type="paragraph" w:styleId="B2">
    <w:name w:val="B2"/>
    <w:basedOn w:val="ListBullet2"/>
    <w:qFormat/>
    <w:pPr/>
    <w:rPr/>
  </w:style>
  <w:style w:type="paragraph" w:styleId="ListBullet3">
    <w:name w:val="List Bullet 3"/>
    <w:basedOn w:val="ListBullet2"/>
    <w:pPr>
      <w:ind w:hanging="284" w:left="1135" w:right="0"/>
    </w:pPr>
    <w:rPr/>
  </w:style>
  <w:style w:type="paragraph" w:styleId="B3">
    <w:name w:val="B3"/>
    <w:basedOn w:val="ListBullet3"/>
    <w:qFormat/>
    <w:pPr/>
    <w:rPr/>
  </w:style>
  <w:style w:type="paragraph" w:styleId="ListBullet4">
    <w:name w:val="List Bullet 4"/>
    <w:basedOn w:val="ListBullet3"/>
    <w:pPr>
      <w:ind w:hanging="284" w:left="1418" w:right="0"/>
    </w:pPr>
    <w:rPr/>
  </w:style>
  <w:style w:type="paragraph" w:styleId="B4">
    <w:name w:val="B4"/>
    <w:basedOn w:val="ListBullet4"/>
    <w:qFormat/>
    <w:pPr/>
    <w:rPr/>
  </w:style>
  <w:style w:type="paragraph" w:styleId="ListBullet5">
    <w:name w:val="List Bullet 5"/>
    <w:basedOn w:val="ListBullet4"/>
    <w:pPr>
      <w:ind w:hanging="284" w:left="1702" w:right="0"/>
    </w:pPr>
    <w:rPr/>
  </w:style>
  <w:style w:type="paragraph" w:styleId="B5">
    <w:name w:val="B5"/>
    <w:basedOn w:val="ListBullet5"/>
    <w:qFormat/>
    <w:pPr/>
    <w:rPr/>
  </w:style>
  <w:style w:type="paragraph" w:styleId="ZTD">
    <w:name w:val="ZTD"/>
    <w:basedOn w:val="ZB"/>
    <w:qFormat/>
    <w:pPr/>
    <w:rPr>
      <w:i w:val="false"/>
      <w:sz w:val="40"/>
    </w:rPr>
  </w:style>
  <w:style w:type="paragraph" w:styleId="ZV">
    <w:name w:val="ZV"/>
    <w:basedOn w:val="ZU"/>
    <w:qFormat/>
    <w:pPr/>
    <w:rPr/>
  </w:style>
  <w:style w:type="paragraph" w:styleId="CommentText">
    <w:name w:val="Comment Text"/>
    <w:basedOn w:val="Normal"/>
    <w:qFormat/>
    <w:pPr/>
    <w:rPr/>
  </w:style>
  <w:style w:type="paragraph" w:styleId="BalloonText">
    <w:name w:val="Balloon Text"/>
    <w:basedOn w:val="Normal"/>
    <w:qFormat/>
    <w:pPr>
      <w:spacing w:before="0" w:after="0"/>
    </w:pPr>
    <w:rPr>
      <w:rFonts w:ascii="Tahoma" w:hAnsi="Tahoma" w:cs="Tahoma"/>
      <w:sz w:val="16"/>
      <w:szCs w:val="16"/>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FootnoteText">
    <w:name w:val="Footnote Text"/>
    <w:basedOn w:val="Normal"/>
    <w:pPr>
      <w:keepLines/>
      <w:ind w:hanging="454" w:left="454" w:right="0"/>
    </w:pPr>
    <w:rPr>
      <w:sz w:val="16"/>
    </w:rPr>
  </w:style>
  <w:style w:type="paragraph" w:styleId="Index1">
    <w:name w:val="Index 1"/>
    <w:basedOn w:val="Normal"/>
    <w:pPr>
      <w:keepLines/>
    </w:pPr>
    <w:rPr/>
  </w:style>
  <w:style w:type="paragraph" w:styleId="Index2">
    <w:name w:val="Index 2"/>
    <w:basedOn w:val="Index1"/>
    <w:pPr>
      <w:ind w:hanging="0" w:left="284" w:right="0"/>
    </w:pPr>
    <w:rPr/>
  </w:style>
  <w:style w:type="paragraph" w:styleId="ListBullet">
    <w:name w:val="List Bullet"/>
    <w:basedOn w:val="List"/>
    <w:qFormat/>
    <w:pPr>
      <w:numPr>
        <w:ilvl w:val="0"/>
        <w:numId w:val="6"/>
      </w:numPr>
    </w:pPr>
    <w:rPr/>
  </w:style>
  <w:style w:type="paragraph" w:styleId="ListBullet21">
    <w:name w:val="List Bullet 21"/>
    <w:basedOn w:val="ListBullet"/>
    <w:qFormat/>
    <w:pPr>
      <w:numPr>
        <w:ilvl w:val="0"/>
        <w:numId w:val="7"/>
      </w:numPr>
      <w:ind w:hanging="284" w:left="851" w:right="0"/>
    </w:pPr>
    <w:rPr/>
  </w:style>
  <w:style w:type="paragraph" w:styleId="ListBullet31">
    <w:name w:val="List Bullet 31"/>
    <w:basedOn w:val="ListBullet21"/>
    <w:qFormat/>
    <w:pPr>
      <w:ind w:hanging="284" w:left="1135" w:right="0"/>
    </w:pPr>
    <w:rPr/>
  </w:style>
  <w:style w:type="paragraph" w:styleId="ListBullet41">
    <w:name w:val="List Bullet 41"/>
    <w:basedOn w:val="ListBullet31"/>
    <w:qFormat/>
    <w:pPr>
      <w:ind w:hanging="284" w:left="1418" w:right="0"/>
    </w:pPr>
    <w:rPr/>
  </w:style>
  <w:style w:type="paragraph" w:styleId="ListBullet51">
    <w:name w:val="List Bullet 51"/>
    <w:basedOn w:val="ListBullet41"/>
    <w:qFormat/>
    <w:pPr>
      <w:ind w:hanging="284" w:left="1702" w:right="0"/>
    </w:pPr>
    <w:rPr/>
  </w:style>
  <w:style w:type="paragraph" w:styleId="ListNumber">
    <w:name w:val="List Number"/>
    <w:basedOn w:val="List"/>
    <w:qFormat/>
    <w:pPr>
      <w:numPr>
        <w:ilvl w:val="0"/>
        <w:numId w:val="8"/>
      </w:numPr>
    </w:pPr>
    <w:rPr/>
  </w:style>
  <w:style w:type="paragraph" w:styleId="ListNumber2">
    <w:name w:val="List Number 2"/>
    <w:basedOn w:val="ListNumber"/>
    <w:qFormat/>
    <w:pPr>
      <w:numPr>
        <w:ilvl w:val="0"/>
        <w:numId w:val="9"/>
      </w:numPr>
      <w:ind w:hanging="284" w:left="851" w:right="0"/>
    </w:pPr>
    <w:rPr/>
  </w:style>
  <w:style w:type="paragraph" w:styleId="FL">
    <w:name w:val="FL"/>
    <w:basedOn w:val="Normal"/>
    <w:qFormat/>
    <w:pPr>
      <w:keepNext w:val="true"/>
      <w:keepLines/>
      <w:spacing w:before="60" w:after="180"/>
      <w:jc w:val="center"/>
    </w:pPr>
    <w:rPr>
      <w:rFonts w:ascii="Arial" w:hAnsi="Arial" w:cs="Arial"/>
      <w:b/>
    </w:rPr>
  </w:style>
  <w:style w:type="paragraph" w:styleId="CommentSubject">
    <w:name w:val="Comment Subject"/>
    <w:basedOn w:val="CommentText"/>
    <w:next w:val="CommentText"/>
    <w:qFormat/>
    <w:pPr/>
    <w:rPr>
      <w:b/>
      <w:bCs/>
    </w:rPr>
  </w:style>
  <w:style w:type="paragraph" w:styleId="Revision">
    <w:name w:val="Revision"/>
    <w:qFormat/>
    <w:pPr>
      <w:widowControl/>
      <w:bidi w:val="0"/>
    </w:pPr>
    <w:rPr>
      <w:rFonts w:ascii="Times New Roman" w:hAnsi="Times New Roman" w:eastAsia="Times New Roman" w:cs="Times New Roman"/>
      <w:color w:val="auto"/>
      <w:sz w:val="20"/>
      <w:szCs w:val="20"/>
      <w:lang w:val="en-GB" w:bidi="ar-SA" w:eastAsia="zh-CN"/>
    </w:rPr>
  </w:style>
  <w:style w:type="paragraph" w:styleId="B11">
    <w:name w:val="B1+"/>
    <w:basedOn w:val="B1"/>
    <w:qFormat/>
    <w:pPr>
      <w:numPr>
        <w:ilvl w:val="0"/>
        <w:numId w:val="5"/>
      </w:numPr>
    </w:pPr>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cs="Calibri Light"/>
      <w:sz w:val="24"/>
      <w:szCs w:val="24"/>
    </w:rPr>
  </w:style>
  <w:style w:type="paragraph" w:styleId="EnvelopeReturn">
    <w:name w:val="Envelope Return"/>
    <w:basedOn w:val="Normal"/>
    <w:pPr/>
    <w:rPr>
      <w:rFonts w:ascii="Calibri Light" w:hAnsi="Calibri Light"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2025-07-03T15:03:00Z</dcterms:created>
  <dc:creator>MCC Support</dc:creator>
  <dc:description/>
  <cp:keywords>&lt;keyword[ keyword ]&gt;</cp:keywords>
  <dc:language>en-US</dc:language>
  <cp:lastModifiedBy>33.545_CR0017R1_(Rel-19)_5G_Femto_Sec</cp:lastModifiedBy>
  <cp:lastPrinted>2019-10-16T08:57:00Z</cp:lastPrinted>
  <dcterms:modified xsi:type="dcterms:W3CDTF">2025-07-03T15:03:00Z</dcterms:modified>
  <cp:revision>2</cp:revision>
  <dc:subject>&lt;Title 1; Title 2&gt; (Release 14 | 13 |12)</dc:subject>
  <dc:title>3GPP TS ab.cde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CCCRsImpl0">
    <vt:lpwstr>21%33.514%Rel-19%0024%33.514%Rel-19%0027%33.514%Rel-19%0030%33.514%Rel-19%0002%</vt:lpwstr>
  </property>
  <property fmtid="{D5CDD505-2E9C-101B-9397-08002B2CF9AE}" pid="3" name="MCCCRsImpl1">
    <vt:lpwstr>21%33.514%Rel-19%0034%</vt:lpwstr>
  </property>
  <property fmtid="{D5CDD505-2E9C-101B-9397-08002B2CF9AE}" pid="4" name="NSCPROP_SA">
    <vt:lpwstr>C:\Users\rajvel\Desktop\SA3#92\Contributions\SCAS\Reference\S3-18hhh_Skeleton TS 33.514_draft_v2.doc</vt:lpwstr>
  </property>
</Properties>
</file>