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embeddings/oleObject1.bin" ContentType="application/vnd.openxmlformats-officedocument.oleObject"/>
  <Override PartName="/word/embeddings/oleObject2.bin" ContentType="application/vnd.openxmlformats-officedocument.oleObject"/>
  <Override PartName="/word/media/image1.wmf" ContentType="image/x-wmf"/>
  <Override PartName="/word/media/image2.png" ContentType="image/pn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ectPr>
          <w:type w:val="nextPage"/>
          <w:pgSz w:w="11906" w:h="16838"/>
          <w:pgMar w:left="851" w:right="851" w:gutter="0" w:header="0" w:top="2268" w:footer="0" w:bottom="10773"/>
          <w:pgNumType w:fmt="decimal"/>
          <w:formProt w:val="false"/>
          <w:textDirection w:val="lrTb"/>
          <w:docGrid w:type="default" w:linePitch="360" w:charSpace="0"/>
        </w:sectPr>
        <w:pStyle w:val="Normal"/>
        <w:rPr/>
      </w:pPr>
      <w:r>
        <w:rPr/>
      </w:r>
      <w:r>
        <mc:AlternateContent>
          <mc:Choice Requires="wps">
            <w:drawing>
              <wp:anchor behindDoc="0" distT="0" distB="0" distL="0" distR="0" simplePos="0" locked="0" layoutInCell="0" allowOverlap="1" relativeHeight="2">
                <wp:simplePos x="0" y="0"/>
                <wp:positionH relativeFrom="margin">
                  <wp:posOffset>0</wp:posOffset>
                </wp:positionH>
                <wp:positionV relativeFrom="page">
                  <wp:posOffset>720725</wp:posOffset>
                </wp:positionV>
                <wp:extent cx="6480810" cy="504190"/>
                <wp:effectExtent l="0" t="0" r="0" b="0"/>
                <wp:wrapTopAndBottom/>
                <wp:docPr id="1" name="Frame1"/>
                <a:graphic xmlns:a="http://schemas.openxmlformats.org/drawingml/2006/main">
                  <a:graphicData uri="http://schemas.microsoft.com/office/word/2010/wordprocessingShape">
                    <wps:wsp>
                      <wps:cNvSpPr txBox="1"/>
                      <wps:spPr>
                        <a:xfrm>
                          <a:off x="0" y="0"/>
                          <a:ext cx="6480810" cy="504190"/>
                        </a:xfrm>
                        <a:prstGeom prst="rect"/>
                        <a:solidFill>
                          <a:srgbClr val="FFFFFF">
                            <a:alpha val="0"/>
                          </a:srgbClr>
                        </a:solidFill>
                      </wps:spPr>
                      <wps:txbx>
                        <w:txbxContent>
                          <w:p>
                            <w:pPr>
                              <w:pStyle w:val="ZA"/>
                              <w:rPr>
                                <w:lang w:val="en-GB" w:eastAsia="en-US"/>
                              </w:rPr>
                            </w:pPr>
                            <w:bookmarkStart w:id="0" w:name="page1"/>
                            <w:bookmarkEnd w:id="0"/>
                            <w:r>
                              <w:rPr>
                                <w:rFonts w:eastAsia="Arial"/>
                                <w:sz w:val="64"/>
                                <w:lang w:val="en-GB" w:eastAsia="en-US"/>
                              </w:rPr>
                              <w:t xml:space="preserve"> </w:t>
                            </w:r>
                            <w:r>
                              <w:rPr>
                                <w:sz w:val="64"/>
                                <w:lang w:val="en-GB" w:eastAsia="en-US"/>
                              </w:rPr>
                              <w:t xml:space="preserve">3GPP TS 33.514 </w:t>
                            </w:r>
                            <w:r>
                              <w:rPr>
                                <w:lang w:val="en-GB" w:eastAsia="en-US"/>
                              </w:rPr>
                              <w:t xml:space="preserve">V19.1.0 </w:t>
                            </w:r>
                            <w:r>
                              <w:rPr>
                                <w:sz w:val="32"/>
                                <w:lang w:val="en-GB" w:eastAsia="en-US"/>
                              </w:rPr>
                              <w:t>(2025-07)</w:t>
                            </w:r>
                          </w:p>
                        </w:txbxContent>
                      </wps:txbx>
                      <wps:bodyPr anchor="t" lIns="0" tIns="0" rIns="0" bIns="12700">
                        <a:noAutofit/>
                      </wps:bodyPr>
                    </wps:wsp>
                  </a:graphicData>
                </a:graphic>
              </wp:anchor>
            </w:drawing>
          </mc:Choice>
          <mc:Fallback>
            <w:pict>
              <v:rect fillcolor="#FFFFFF" style="position:absolute;rotation:-0;width:510.3pt;height:39.7pt;mso-wrap-distance-left:0pt;mso-wrap-distance-right:0pt;mso-wrap-distance-top:0pt;mso-wrap-distance-bottom:0pt;margin-top:56.75pt;mso-position-vertical-relative:page;margin-left:0pt;mso-position-horizontal-relative:margin">
                <v:fill opacity="0f"/>
                <v:textbox inset="0in,0in,0in,0.0138888888888889in">
                  <w:txbxContent>
                    <w:p>
                      <w:pPr>
                        <w:pStyle w:val="ZA"/>
                        <w:rPr>
                          <w:lang w:val="en-GB" w:eastAsia="en-US"/>
                        </w:rPr>
                      </w:pPr>
                      <w:bookmarkStart w:id="1" w:name="page1"/>
                      <w:bookmarkEnd w:id="1"/>
                      <w:r>
                        <w:rPr>
                          <w:rFonts w:eastAsia="Arial"/>
                          <w:sz w:val="64"/>
                          <w:lang w:val="en-GB" w:eastAsia="en-US"/>
                        </w:rPr>
                        <w:t xml:space="preserve"> </w:t>
                      </w:r>
                      <w:r>
                        <w:rPr>
                          <w:sz w:val="64"/>
                          <w:lang w:val="en-GB" w:eastAsia="en-US"/>
                        </w:rPr>
                        <w:t xml:space="preserve">3GPP TS 33.514 </w:t>
                      </w:r>
                      <w:r>
                        <w:rPr>
                          <w:lang w:val="en-GB" w:eastAsia="en-US"/>
                        </w:rPr>
                        <w:t xml:space="preserve">V19.1.0 </w:t>
                      </w:r>
                      <w:r>
                        <w:rPr>
                          <w:sz w:val="32"/>
                          <w:lang w:val="en-GB" w:eastAsia="en-US"/>
                        </w:rPr>
                        <w:t>(2025-07)</w:t>
                      </w:r>
                    </w:p>
                  </w:txbxContent>
                </v:textbox>
                <w10:wrap type="topAndBottom"/>
              </v:rect>
            </w:pict>
          </mc:Fallback>
        </mc:AlternateContent>
      </w:r>
      <w:r>
        <mc:AlternateContent>
          <mc:Choice Requires="wps">
            <w:drawing>
              <wp:anchor behindDoc="0" distT="0" distB="0" distL="0" distR="0" simplePos="0" locked="0" layoutInCell="0" allowOverlap="1" relativeHeight="3">
                <wp:simplePos x="0" y="0"/>
                <wp:positionH relativeFrom="margin">
                  <wp:posOffset>0</wp:posOffset>
                </wp:positionH>
                <wp:positionV relativeFrom="page">
                  <wp:posOffset>1261110</wp:posOffset>
                </wp:positionV>
                <wp:extent cx="6480810" cy="180340"/>
                <wp:effectExtent l="0" t="0" r="0" b="0"/>
                <wp:wrapTopAndBottom/>
                <wp:docPr id="2" name="Frame2"/>
                <a:graphic xmlns:a="http://schemas.openxmlformats.org/drawingml/2006/main">
                  <a:graphicData uri="http://schemas.microsoft.com/office/word/2010/wordprocessingShape">
                    <wps:wsp>
                      <wps:cNvSpPr txBox="1"/>
                      <wps:spPr>
                        <a:xfrm>
                          <a:off x="0" y="0"/>
                          <a:ext cx="6480810" cy="180340"/>
                        </a:xfrm>
                        <a:prstGeom prst="rect"/>
                        <a:solidFill>
                          <a:srgbClr val="FFFFFF">
                            <a:alpha val="0"/>
                          </a:srgbClr>
                        </a:solidFill>
                      </wps:spPr>
                      <wps:txbx>
                        <w:txbxContent>
                          <w:p>
                            <w:pPr>
                              <w:pStyle w:val="ZB"/>
                              <w:rPr>
                                <w:lang w:val="en-GB" w:eastAsia="en-US"/>
                              </w:rPr>
                            </w:pPr>
                            <w:r>
                              <w:rPr>
                                <w:lang w:val="en-GB" w:eastAsia="en-US"/>
                              </w:rPr>
                              <w:t>Technical Specification</w:t>
                            </w:r>
                          </w:p>
                        </w:txbxContent>
                      </wps:txbx>
                      <wps:bodyPr anchor="t" lIns="0" tIns="0" rIns="0" bIns="0">
                        <a:noAutofit/>
                      </wps:bodyPr>
                    </wps:wsp>
                  </a:graphicData>
                </a:graphic>
              </wp:anchor>
            </w:drawing>
          </mc:Choice>
          <mc:Fallback>
            <w:pict>
              <v:rect fillcolor="#FFFFFF" style="position:absolute;rotation:-0;width:510.3pt;height:14.2pt;mso-wrap-distance-left:0pt;mso-wrap-distance-right:0pt;mso-wrap-distance-top:0pt;mso-wrap-distance-bottom:0pt;margin-top:99.3pt;mso-position-vertical-relative:page;margin-left:0pt;mso-position-horizontal-relative:margin">
                <v:fill opacity="0f"/>
                <v:textbox inset="0in,0in,0in,0in">
                  <w:txbxContent>
                    <w:p>
                      <w:pPr>
                        <w:pStyle w:val="ZB"/>
                        <w:rPr>
                          <w:lang w:val="en-GB" w:eastAsia="en-US"/>
                        </w:rPr>
                      </w:pPr>
                      <w:r>
                        <w:rPr>
                          <w:lang w:val="en-GB" w:eastAsia="en-US"/>
                        </w:rPr>
                        <w:t>Technical Specification</w:t>
                      </w:r>
                    </w:p>
                  </w:txbxContent>
                </v:textbox>
                <w10:wrap type="topAndBottom"/>
              </v:rect>
            </w:pict>
          </mc:Fallback>
        </mc:AlternateContent>
      </w:r>
      <w:r>
        <mc:AlternateContent>
          <mc:Choice Requires="wps">
            <w:drawing>
              <wp:anchor behindDoc="0" distT="0" distB="0" distL="0" distR="0" simplePos="0" locked="0" layoutInCell="0" allowOverlap="1" relativeHeight="4">
                <wp:simplePos x="0" y="0"/>
                <wp:positionH relativeFrom="margin">
                  <wp:align>left</wp:align>
                </wp:positionH>
                <wp:positionV relativeFrom="margin">
                  <wp:align>center</wp:align>
                </wp:positionV>
                <wp:extent cx="6479540" cy="1241425"/>
                <wp:effectExtent l="0" t="0" r="0" b="0"/>
                <wp:wrapTopAndBottom/>
                <wp:docPr id="3" name="Frame3"/>
                <a:graphic xmlns:a="http://schemas.openxmlformats.org/drawingml/2006/main">
                  <a:graphicData uri="http://schemas.microsoft.com/office/word/2010/wordprocessingShape">
                    <wps:wsp>
                      <wps:cNvSpPr txBox="1"/>
                      <wps:spPr>
                        <a:xfrm>
                          <a:off x="0" y="0"/>
                          <a:ext cx="6479540" cy="1241425"/>
                        </a:xfrm>
                        <a:prstGeom prst="rect"/>
                        <a:solidFill>
                          <a:srgbClr val="FFFFFF">
                            <a:alpha val="0"/>
                          </a:srgbClr>
                        </a:solidFill>
                      </wps:spPr>
                      <wps:txbx>
                        <w:txbxContent>
                          <w:p>
                            <w:pPr>
                              <w:pStyle w:val="ZT"/>
                              <w:rPr/>
                            </w:pPr>
                            <w:r>
                              <w:rPr/>
                              <w:t>3rd Generation Partnership Project;</w:t>
                            </w:r>
                          </w:p>
                          <w:p>
                            <w:pPr>
                              <w:pStyle w:val="ZT"/>
                              <w:rPr/>
                            </w:pPr>
                            <w:r>
                              <w:rPr/>
                              <w:t>Technical Specification Group Services and System Aspects;</w:t>
                            </w:r>
                          </w:p>
                          <w:p>
                            <w:pPr>
                              <w:pStyle w:val="ZT"/>
                              <w:rPr/>
                            </w:pPr>
                            <w:r>
                              <w:rPr/>
                              <w:t>5G Security Assurance Specification (SCAS) for the Unified Data Management (UDM) network product class</w:t>
                            </w:r>
                          </w:p>
                          <w:p>
                            <w:pPr>
                              <w:pStyle w:val="ZT"/>
                              <w:rPr>
                                <w:i/>
                                <w:i/>
                                <w:sz w:val="28"/>
                              </w:rPr>
                            </w:pPr>
                            <w:r>
                              <w:rPr/>
                              <w:t>(</w:t>
                            </w:r>
                            <w:r>
                              <w:rPr>
                                <w:rStyle w:val="ZGSM"/>
                              </w:rPr>
                              <w:t>Release 19</w:t>
                            </w:r>
                            <w:r>
                              <w:rPr/>
                              <w:t>)</w:t>
                            </w:r>
                          </w:p>
                        </w:txbxContent>
                      </wps:txbx>
                      <wps:bodyPr anchor="t" lIns="0" tIns="0" rIns="0" bIns="0">
                        <a:noAutofit/>
                      </wps:bodyPr>
                    </wps:wsp>
                  </a:graphicData>
                </a:graphic>
              </wp:anchor>
            </w:drawing>
          </mc:Choice>
          <mc:Fallback>
            <w:pict>
              <v:rect fillcolor="#FFFFFF" style="position:absolute;rotation:-0;width:510.2pt;height:97.75pt;mso-wrap-distance-left:0pt;mso-wrap-distance-right:0pt;mso-wrap-distance-top:0pt;mso-wrap-distance-bottom:0pt;margin-top:46.05pt;mso-position-vertical:center;mso-position-vertical-relative:margin;margin-left:0pt;mso-position-horizontal:left;mso-position-horizontal-relative:margin">
                <v:fill opacity="0f"/>
                <v:textbox inset="0in,0in,0in,0in">
                  <w:txbxContent>
                    <w:p>
                      <w:pPr>
                        <w:pStyle w:val="ZT"/>
                        <w:rPr/>
                      </w:pPr>
                      <w:r>
                        <w:rPr/>
                        <w:t>3rd Generation Partnership Project;</w:t>
                      </w:r>
                    </w:p>
                    <w:p>
                      <w:pPr>
                        <w:pStyle w:val="ZT"/>
                        <w:rPr/>
                      </w:pPr>
                      <w:r>
                        <w:rPr/>
                        <w:t>Technical Specification Group Services and System Aspects;</w:t>
                      </w:r>
                    </w:p>
                    <w:p>
                      <w:pPr>
                        <w:pStyle w:val="ZT"/>
                        <w:rPr/>
                      </w:pPr>
                      <w:r>
                        <w:rPr/>
                        <w:t>5G Security Assurance Specification (SCAS) for the Unified Data Management (UDM) network product class</w:t>
                      </w:r>
                    </w:p>
                    <w:p>
                      <w:pPr>
                        <w:pStyle w:val="ZT"/>
                        <w:rPr>
                          <w:i/>
                          <w:i/>
                          <w:sz w:val="28"/>
                        </w:rPr>
                      </w:pPr>
                      <w:r>
                        <w:rPr/>
                        <w:t>(</w:t>
                      </w:r>
                      <w:r>
                        <w:rPr>
                          <w:rStyle w:val="ZGSM"/>
                        </w:rPr>
                        <w:t>Release 19</w:t>
                      </w:r>
                      <w:r>
                        <w:rPr/>
                        <w:t>)</w:t>
                      </w:r>
                    </w:p>
                  </w:txbxContent>
                </v:textbox>
                <w10:wrap type="topAndBottom"/>
              </v:rect>
            </w:pict>
          </mc:Fallback>
        </mc:AlternateContent>
      </w:r>
      <w:r>
        <mc:AlternateContent>
          <mc:Choice Requires="wps">
            <w:drawing>
              <wp:anchor behindDoc="0" distT="0" distB="0" distL="0" distR="0" simplePos="0" locked="0" layoutInCell="0" allowOverlap="1" relativeHeight="5">
                <wp:simplePos x="0" y="0"/>
                <wp:positionH relativeFrom="margin">
                  <wp:posOffset>0</wp:posOffset>
                </wp:positionH>
                <wp:positionV relativeFrom="page">
                  <wp:posOffset>3961130</wp:posOffset>
                </wp:positionV>
                <wp:extent cx="6480810" cy="3129915"/>
                <wp:effectExtent l="0" t="0" r="0" b="0"/>
                <wp:wrapTopAndBottom/>
                <wp:docPr id="4" name="Frame4"/>
                <a:graphic xmlns:a="http://schemas.openxmlformats.org/drawingml/2006/main">
                  <a:graphicData uri="http://schemas.microsoft.com/office/word/2010/wordprocessingShape">
                    <wps:wsp>
                      <wps:cNvSpPr txBox="1"/>
                      <wps:spPr>
                        <a:xfrm>
                          <a:off x="0" y="0"/>
                          <a:ext cx="6480810" cy="3129915"/>
                        </a:xfrm>
                        <a:prstGeom prst="rect"/>
                        <a:solidFill>
                          <a:srgbClr val="FFFFFF">
                            <a:alpha val="0"/>
                          </a:srgbClr>
                        </a:solidFill>
                      </wps:spPr>
                      <wps:txbx>
                        <w:txbxContent>
                          <w:p>
                            <w:pPr>
                              <w:pStyle w:val="ZU"/>
                              <w:tabs>
                                <w:tab w:val="clear" w:pos="284"/>
                                <w:tab w:val="right" w:pos="10206" w:leader="none"/>
                              </w:tabs>
                              <w:jc w:val="left"/>
                              <w:rPr>
                                <w:color w:val="0000FF"/>
                                <w:lang w:val="en-GB" w:eastAsia="en-US"/>
                              </w:rPr>
                            </w:pPr>
                            <w:bookmarkStart w:id="2" w:name="_1684549432"/>
                            <w:bookmarkStart w:id="3" w:name="_MON_1684549432"/>
                            <w:bookmarkEnd w:id="2"/>
                            <w:bookmarkEnd w:id="3"/>
                            <w:r>
                              <w:rPr>
                                <w:i/>
                                <w:lang w:val="en-GB" w:eastAsia="en-US"/>
                              </w:rPr>
                              <w:object w:dxaOrig="2026" w:dyaOrig="1251">
                                <v:shapetype id="_x0000_tole_rId2" coordsize="21600,21600" o:spt="ole_rId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95.1pt;height:58.7pt" filled="f" o:ole="">
                                  <v:imagedata r:id="rId3" o:title=""/>
                                </v:shape>
                                <o:OLEObject Type="Embed" ProgID="" ShapeID="ole_rId2" DrawAspect="Content" ObjectID="_1202554046" r:id="rId2"/>
                              </w:object>
                            </w:r>
                            <w:r>
                              <w:rPr>
                                <w:color w:val="0000FF"/>
                                <w:lang w:val="en-GB" w:eastAsia="en-US"/>
                              </w:rPr>
                              <w:tab/>
                            </w:r>
                            <w:r>
                              <w:rPr>
                                <w:lang w:val="en-GB" w:eastAsia="en-US"/>
                              </w:rPr>
                              <w:drawing>
                                <wp:inline distT="0" distB="0" distL="0" distR="0">
                                  <wp:extent cx="1624965" cy="949960"/>
                                  <wp:effectExtent l="0" t="0" r="0" b="0"/>
                                  <wp:docPr id="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pic:cNvPicPr>
                                            <a:picLocks noChangeAspect="1" noChangeArrowheads="1"/>
                                          </pic:cNvPicPr>
                                        </pic:nvPicPr>
                                        <pic:blipFill>
                                          <a:blip r:embed="rId4"/>
                                          <a:srcRect l="-13" t="-23" r="-13" b="-23"/>
                                          <a:stretch>
                                            <a:fillRect/>
                                          </a:stretch>
                                        </pic:blipFill>
                                        <pic:spPr bwMode="auto">
                                          <a:xfrm>
                                            <a:off x="0" y="0"/>
                                            <a:ext cx="1624965" cy="949960"/>
                                          </a:xfrm>
                                          <a:prstGeom prst="rect">
                                            <a:avLst/>
                                          </a:prstGeom>
                                        </pic:spPr>
                                      </pic:pic>
                                    </a:graphicData>
                                  </a:graphic>
                                </wp:inline>
                              </w:drawing>
                            </w:r>
                          </w:p>
                          <w:p>
                            <w:pPr>
                              <w:pStyle w:val="ZU"/>
                              <w:tabs>
                                <w:tab w:val="clear" w:pos="284"/>
                                <w:tab w:val="right" w:pos="10206" w:leader="none"/>
                              </w:tabs>
                              <w:jc w:val="left"/>
                              <w:rPr>
                                <w:lang w:val="en-GB" w:eastAsia="en-US"/>
                              </w:rPr>
                            </w:pPr>
                            <w:r>
                              <w:rPr>
                                <w:color w:val="0000FF"/>
                                <w:lang w:val="en-GB" w:eastAsia="en-US"/>
                              </w:rPr>
                              <w:tab/>
                            </w:r>
                          </w:p>
                          <w:p>
                            <w:pPr>
                              <w:pStyle w:val="ZU"/>
                              <w:tabs>
                                <w:tab w:val="clear" w:pos="284"/>
                                <w:tab w:val="right" w:pos="10206" w:leader="none"/>
                              </w:tabs>
                              <w:jc w:val="left"/>
                              <w:rPr>
                                <w:lang w:val="en-GB" w:eastAsia="en-US"/>
                              </w:rPr>
                            </w:pPr>
                            <w:r>
                              <w:rPr>
                                <w:color w:val="0000FF"/>
                                <w:lang w:val="en-GB" w:eastAsia="en-US"/>
                              </w:rPr>
                              <w:tab/>
                            </w:r>
                          </w:p>
                          <w:p>
                            <w:pPr>
                              <w:pStyle w:val="ZU"/>
                              <w:tabs>
                                <w:tab w:val="clear" w:pos="284"/>
                                <w:tab w:val="right" w:pos="10206" w:leader="none"/>
                              </w:tabs>
                              <w:jc w:val="left"/>
                              <w:rPr>
                                <w:lang w:val="en-GB" w:eastAsia="en-US"/>
                              </w:rPr>
                            </w:pPr>
                            <w:r>
                              <w:rPr>
                                <w:lang w:val="en-GB" w:eastAsia="en-US"/>
                              </w:rPr>
                            </w:r>
                          </w:p>
                          <w:p>
                            <w:pPr>
                              <w:pStyle w:val="ZU"/>
                              <w:tabs>
                                <w:tab w:val="clear" w:pos="284"/>
                                <w:tab w:val="right" w:pos="10206" w:leader="none"/>
                              </w:tabs>
                              <w:jc w:val="left"/>
                              <w:rPr>
                                <w:lang w:val="en-GB" w:eastAsia="en-US"/>
                              </w:rPr>
                            </w:pPr>
                            <w:r>
                              <w:rPr>
                                <w:rFonts w:eastAsia="Arial"/>
                                <w:i/>
                                <w:lang w:val="en-GB" w:eastAsia="en-US"/>
                              </w:rPr>
                              <w:t xml:space="preserve">  </w:t>
                            </w:r>
                            <w:r>
                              <w:rPr>
                                <w:color w:val="0000FF"/>
                                <w:lang w:val="en-GB" w:eastAsia="en-US"/>
                              </w:rPr>
                              <w:tab/>
                            </w:r>
                          </w:p>
                          <w:p>
                            <w:pPr>
                              <w:pStyle w:val="ZU"/>
                              <w:tabs>
                                <w:tab w:val="clear" w:pos="284"/>
                                <w:tab w:val="right" w:pos="10206" w:leader="none"/>
                              </w:tabs>
                              <w:jc w:val="left"/>
                              <w:rPr>
                                <w:lang w:val="en-GB" w:eastAsia="en-US"/>
                              </w:rPr>
                            </w:pPr>
                            <w:r>
                              <w:rPr>
                                <w:lang w:val="en-GB" w:eastAsia="en-US"/>
                              </w:rPr>
                            </w:r>
                          </w:p>
                        </w:txbxContent>
                      </wps:txbx>
                      <wps:bodyPr anchor="t" lIns="0" tIns="12700" rIns="0" bIns="0">
                        <a:noAutofit/>
                      </wps:bodyPr>
                    </wps:wsp>
                  </a:graphicData>
                </a:graphic>
              </wp:anchor>
            </w:drawing>
          </mc:Choice>
          <mc:Fallback>
            <w:pict>
              <v:rect fillcolor="#FFFFFF" style="position:absolute;rotation:-0;width:510.3pt;height:246.45pt;mso-wrap-distance-left:0pt;mso-wrap-distance-right:0pt;mso-wrap-distance-top:0pt;mso-wrap-distance-bottom:0pt;margin-top:311.9pt;mso-position-vertical-relative:page;margin-left:0pt;mso-position-horizontal-relative:margin">
                <v:fill opacity="0f"/>
                <v:textbox inset="0in,0.0138888888888889in,0in,0in">
                  <w:txbxContent>
                    <w:p>
                      <w:pPr>
                        <w:pStyle w:val="ZU"/>
                        <w:tabs>
                          <w:tab w:val="clear" w:pos="284"/>
                          <w:tab w:val="right" w:pos="10206" w:leader="none"/>
                        </w:tabs>
                        <w:jc w:val="left"/>
                        <w:rPr>
                          <w:color w:val="0000FF"/>
                          <w:lang w:val="en-GB" w:eastAsia="en-US"/>
                        </w:rPr>
                      </w:pPr>
                      <w:bookmarkStart w:id="4" w:name="_1684549432"/>
                      <w:bookmarkStart w:id="5" w:name="_MON_1684549432"/>
                      <w:bookmarkEnd w:id="4"/>
                      <w:bookmarkEnd w:id="5"/>
                      <w:r>
                        <w:rPr>
                          <w:i/>
                          <w:lang w:val="en-GB" w:eastAsia="en-US"/>
                        </w:rPr>
                        <w:object w:dxaOrig="2026" w:dyaOrig="1251">
                          <v:shapetype id="_x0000_tole_rId5" coordsize="21600,21600" o:spt="ole_rId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 type="_x0000_tole_rId5" style="width:95.1pt;height:58.7pt" filled="f" o:ole="">
                            <v:imagedata r:id="rId6" o:title=""/>
                          </v:shape>
                          <o:OLEObject Type="Embed" ProgID="" ShapeID="ole_rId5" DrawAspect="Content" ObjectID="_286729289" r:id="rId5"/>
                        </w:object>
                      </w:r>
                      <w:r>
                        <w:rPr>
                          <w:color w:val="0000FF"/>
                          <w:lang w:val="en-GB" w:eastAsia="en-US"/>
                        </w:rPr>
                        <w:tab/>
                      </w:r>
                      <w:r>
                        <w:rPr>
                          <w:lang w:val="en-GB" w:eastAsia="en-US"/>
                        </w:rPr>
                        <w:drawing>
                          <wp:inline distT="0" distB="0" distL="0" distR="0">
                            <wp:extent cx="1624965" cy="949960"/>
                            <wp:effectExtent l="0" t="0" r="0" b="0"/>
                            <wp:docPr id="6"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descr=""/>
                                    <pic:cNvPicPr>
                                      <a:picLocks noChangeAspect="1" noChangeArrowheads="1"/>
                                    </pic:cNvPicPr>
                                  </pic:nvPicPr>
                                  <pic:blipFill>
                                    <a:blip r:embed="rId7"/>
                                    <a:srcRect l="-13" t="-23" r="-13" b="-23"/>
                                    <a:stretch>
                                      <a:fillRect/>
                                    </a:stretch>
                                  </pic:blipFill>
                                  <pic:spPr bwMode="auto">
                                    <a:xfrm>
                                      <a:off x="0" y="0"/>
                                      <a:ext cx="1624965" cy="949960"/>
                                    </a:xfrm>
                                    <a:prstGeom prst="rect">
                                      <a:avLst/>
                                    </a:prstGeom>
                                  </pic:spPr>
                                </pic:pic>
                              </a:graphicData>
                            </a:graphic>
                          </wp:inline>
                        </w:drawing>
                      </w:r>
                    </w:p>
                    <w:p>
                      <w:pPr>
                        <w:pStyle w:val="ZU"/>
                        <w:tabs>
                          <w:tab w:val="clear" w:pos="284"/>
                          <w:tab w:val="right" w:pos="10206" w:leader="none"/>
                        </w:tabs>
                        <w:jc w:val="left"/>
                        <w:rPr>
                          <w:lang w:val="en-GB" w:eastAsia="en-US"/>
                        </w:rPr>
                      </w:pPr>
                      <w:r>
                        <w:rPr>
                          <w:color w:val="0000FF"/>
                          <w:lang w:val="en-GB" w:eastAsia="en-US"/>
                        </w:rPr>
                        <w:tab/>
                      </w:r>
                    </w:p>
                    <w:p>
                      <w:pPr>
                        <w:pStyle w:val="ZU"/>
                        <w:tabs>
                          <w:tab w:val="clear" w:pos="284"/>
                          <w:tab w:val="right" w:pos="10206" w:leader="none"/>
                        </w:tabs>
                        <w:jc w:val="left"/>
                        <w:rPr>
                          <w:lang w:val="en-GB" w:eastAsia="en-US"/>
                        </w:rPr>
                      </w:pPr>
                      <w:r>
                        <w:rPr>
                          <w:color w:val="0000FF"/>
                          <w:lang w:val="en-GB" w:eastAsia="en-US"/>
                        </w:rPr>
                        <w:tab/>
                      </w:r>
                    </w:p>
                    <w:p>
                      <w:pPr>
                        <w:pStyle w:val="ZU"/>
                        <w:tabs>
                          <w:tab w:val="clear" w:pos="284"/>
                          <w:tab w:val="right" w:pos="10206" w:leader="none"/>
                        </w:tabs>
                        <w:jc w:val="left"/>
                        <w:rPr>
                          <w:lang w:val="en-GB" w:eastAsia="en-US"/>
                        </w:rPr>
                      </w:pPr>
                      <w:r>
                        <w:rPr>
                          <w:lang w:val="en-GB" w:eastAsia="en-US"/>
                        </w:rPr>
                      </w:r>
                    </w:p>
                    <w:p>
                      <w:pPr>
                        <w:pStyle w:val="ZU"/>
                        <w:tabs>
                          <w:tab w:val="clear" w:pos="284"/>
                          <w:tab w:val="right" w:pos="10206" w:leader="none"/>
                        </w:tabs>
                        <w:jc w:val="left"/>
                        <w:rPr>
                          <w:lang w:val="en-GB" w:eastAsia="en-US"/>
                        </w:rPr>
                      </w:pPr>
                      <w:r>
                        <w:rPr>
                          <w:rFonts w:eastAsia="Arial"/>
                          <w:i/>
                          <w:lang w:val="en-GB" w:eastAsia="en-US"/>
                        </w:rPr>
                        <w:t xml:space="preserve">  </w:t>
                      </w:r>
                      <w:r>
                        <w:rPr>
                          <w:color w:val="0000FF"/>
                          <w:lang w:val="en-GB" w:eastAsia="en-US"/>
                        </w:rPr>
                        <w:tab/>
                      </w:r>
                    </w:p>
                    <w:p>
                      <w:pPr>
                        <w:pStyle w:val="ZU"/>
                        <w:tabs>
                          <w:tab w:val="clear" w:pos="284"/>
                          <w:tab w:val="right" w:pos="10206" w:leader="none"/>
                        </w:tabs>
                        <w:jc w:val="left"/>
                        <w:rPr>
                          <w:lang w:val="en-GB" w:eastAsia="en-US"/>
                        </w:rPr>
                      </w:pPr>
                      <w:r>
                        <w:rPr>
                          <w:lang w:val="en-GB" w:eastAsia="en-US"/>
                        </w:rPr>
                      </w:r>
                    </w:p>
                  </w:txbxContent>
                </v:textbox>
                <w10:wrap type="topAndBottom"/>
              </v:rect>
            </w:pict>
          </mc:Fallback>
        </mc:AlternateContent>
      </w:r>
      <w:r>
        <mc:AlternateContent>
          <mc:Choice Requires="wps">
            <w:drawing>
              <wp:anchor behindDoc="0" distT="0" distB="0" distL="0" distR="0" simplePos="0" locked="0" layoutInCell="0" allowOverlap="1" relativeHeight="8">
                <wp:simplePos x="0" y="0"/>
                <wp:positionH relativeFrom="margin">
                  <wp:align>left</wp:align>
                </wp:positionH>
                <wp:positionV relativeFrom="page">
                  <wp:posOffset>9718675</wp:posOffset>
                </wp:positionV>
                <wp:extent cx="6377940" cy="874395"/>
                <wp:effectExtent l="0" t="0" r="0" b="0"/>
                <wp:wrapTopAndBottom/>
                <wp:docPr id="7" name="Frame5"/>
                <a:graphic xmlns:a="http://schemas.openxmlformats.org/drawingml/2006/main">
                  <a:graphicData uri="http://schemas.microsoft.com/office/word/2010/wordprocessingShape">
                    <wps:wsp>
                      <wps:cNvSpPr txBox="1"/>
                      <wps:spPr>
                        <a:xfrm>
                          <a:off x="0" y="0"/>
                          <a:ext cx="6377940" cy="874395"/>
                        </a:xfrm>
                        <a:prstGeom prst="rect"/>
                        <a:solidFill>
                          <a:srgbClr val="FFFFFF">
                            <a:alpha val="0"/>
                          </a:srgbClr>
                        </a:solidFill>
                      </wps:spPr>
                      <wps:txbx>
                        <w:txbxContent>
                          <w:p>
                            <w:pPr>
                              <w:pStyle w:val="Normal"/>
                              <w:widowControl/>
                              <w:overflowPunct w:val="false"/>
                              <w:autoSpaceDE w:val="false"/>
                              <w:bidi w:val="0"/>
                              <w:spacing w:before="0" w:after="180"/>
                              <w:textAlignment w:val="baseline"/>
                              <w:rPr/>
                            </w:pPr>
                            <w:r>
                              <w:rPr>
                                <w:sz w:val="16"/>
                              </w:rPr>
                              <w:t>The present document has been developed within the 3rd Generation Partnership Project (3GPP</w:t>
                            </w:r>
                            <w:r>
                              <w:rPr>
                                <w:sz w:val="16"/>
                                <w:vertAlign w:val="superscript"/>
                              </w:rPr>
                              <w:t xml:space="preserve"> TM</w:t>
                            </w:r>
                            <w:r>
                              <w:rPr>
                                <w:sz w:val="16"/>
                              </w:rPr>
                              <w:t>) and may be further elaborated for the purposes of 3GPP..</w:t>
                              <w:br/>
                              <w:t>The present document has not been subject to any approval process by the 3GPP</w:t>
                            </w:r>
                            <w:r>
                              <w:rPr>
                                <w:sz w:val="16"/>
                                <w:vertAlign w:val="superscript"/>
                              </w:rPr>
                              <w:t xml:space="preserve"> </w:t>
                            </w:r>
                            <w:r>
                              <w:rPr>
                                <w:sz w:val="16"/>
                              </w:rPr>
                              <w:t>Organizational Partners and shall not be implemented.</w:t>
                              <w:br/>
                              <w:t>This Specification is provided for future development work within 3GPP</w:t>
                            </w:r>
                            <w:r>
                              <w:rPr>
                                <w:sz w:val="16"/>
                                <w:vertAlign w:val="superscript"/>
                              </w:rPr>
                              <w:t xml:space="preserve"> </w:t>
                            </w:r>
                            <w:r>
                              <w:rPr>
                                <w:sz w:val="16"/>
                              </w:rPr>
                              <w:t>only. The Organizational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Organizational Partners' Publications Offices.</w:t>
                            </w:r>
                          </w:p>
                        </w:txbxContent>
                      </wps:txbx>
                      <wps:bodyPr anchor="t" lIns="0" tIns="0" rIns="0" bIns="0">
                        <a:noAutofit/>
                      </wps:bodyPr>
                    </wps:wsp>
                  </a:graphicData>
                </a:graphic>
              </wp:anchor>
            </w:drawing>
          </mc:Choice>
          <mc:Fallback>
            <w:pict>
              <v:rect fillcolor="#FFFFFF" style="position:absolute;rotation:-0;width:502.2pt;height:68.85pt;mso-wrap-distance-left:0pt;mso-wrap-distance-right:0pt;mso-wrap-distance-top:0pt;mso-wrap-distance-bottom:0pt;margin-top:765.25pt;mso-position-vertical-relative:page;margin-left:0pt;mso-position-horizontal:left;mso-position-horizontal-relative:margin">
                <v:fill opacity="0f"/>
                <v:textbox inset="0in,0in,0in,0in">
                  <w:txbxContent>
                    <w:p>
                      <w:pPr>
                        <w:pStyle w:val="Normal"/>
                        <w:widowControl/>
                        <w:overflowPunct w:val="false"/>
                        <w:autoSpaceDE w:val="false"/>
                        <w:bidi w:val="0"/>
                        <w:spacing w:before="0" w:after="180"/>
                        <w:textAlignment w:val="baseline"/>
                        <w:rPr/>
                      </w:pPr>
                      <w:r>
                        <w:rPr>
                          <w:sz w:val="16"/>
                        </w:rPr>
                        <w:t>The present document has been developed within the 3rd Generation Partnership Project (3GPP</w:t>
                      </w:r>
                      <w:r>
                        <w:rPr>
                          <w:sz w:val="16"/>
                          <w:vertAlign w:val="superscript"/>
                        </w:rPr>
                        <w:t xml:space="preserve"> TM</w:t>
                      </w:r>
                      <w:r>
                        <w:rPr>
                          <w:sz w:val="16"/>
                        </w:rPr>
                        <w:t>) and may be further elaborated for the purposes of 3GPP..</w:t>
                        <w:br/>
                        <w:t>The present document has not been subject to any approval process by the 3GPP</w:t>
                      </w:r>
                      <w:r>
                        <w:rPr>
                          <w:sz w:val="16"/>
                          <w:vertAlign w:val="superscript"/>
                        </w:rPr>
                        <w:t xml:space="preserve"> </w:t>
                      </w:r>
                      <w:r>
                        <w:rPr>
                          <w:sz w:val="16"/>
                        </w:rPr>
                        <w:t>Organizational Partners and shall not be implemented.</w:t>
                        <w:br/>
                        <w:t>This Specification is provided for future development work within 3GPP</w:t>
                      </w:r>
                      <w:r>
                        <w:rPr>
                          <w:sz w:val="16"/>
                          <w:vertAlign w:val="superscript"/>
                        </w:rPr>
                        <w:t xml:space="preserve"> </w:t>
                      </w:r>
                      <w:r>
                        <w:rPr>
                          <w:sz w:val="16"/>
                        </w:rPr>
                        <w:t>only. The Organizational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Organizational Partners' Publications Offices.</w:t>
                      </w:r>
                    </w:p>
                  </w:txbxContent>
                </v:textbox>
                <w10:wrap type="topAndBottom"/>
              </v:rect>
            </w:pict>
          </mc:Fallback>
        </mc:AlternateContent>
      </w:r>
      <w:r>
        <mc:AlternateContent>
          <mc:Choice Requires="wps">
            <w:drawing>
              <wp:anchor behindDoc="0" distT="0" distB="0" distL="0" distR="0" simplePos="0" locked="0" layoutInCell="0" allowOverlap="1" relativeHeight="9">
                <wp:simplePos x="0" y="0"/>
                <wp:positionH relativeFrom="margin">
                  <wp:posOffset>0</wp:posOffset>
                </wp:positionH>
                <wp:positionV relativeFrom="page">
                  <wp:posOffset>3961130</wp:posOffset>
                </wp:positionV>
                <wp:extent cx="6480810" cy="209550"/>
                <wp:effectExtent l="0" t="0" r="0" b="0"/>
                <wp:wrapTopAndBottom/>
                <wp:docPr id="8" name="Frame6"/>
                <a:graphic xmlns:a="http://schemas.openxmlformats.org/drawingml/2006/main">
                  <a:graphicData uri="http://schemas.microsoft.com/office/word/2010/wordprocessingShape">
                    <wps:wsp>
                      <wps:cNvSpPr txBox="1"/>
                      <wps:spPr>
                        <a:xfrm>
                          <a:off x="0" y="0"/>
                          <a:ext cx="6480810" cy="209550"/>
                        </a:xfrm>
                        <a:prstGeom prst="rect"/>
                        <a:solidFill>
                          <a:srgbClr val="FFFFFF">
                            <a:alpha val="0"/>
                          </a:srgbClr>
                        </a:solidFill>
                      </wps:spPr>
                      <wps:txbx>
                        <w:txbxContent>
                          <w:p>
                            <w:pPr>
                              <w:pStyle w:val="ZV"/>
                              <w:rPr>
                                <w:lang w:val="en-GB" w:eastAsia="en-US"/>
                              </w:rPr>
                            </w:pPr>
                            <w:r>
                              <w:rPr>
                                <w:lang w:val="en-GB" w:eastAsia="en-US"/>
                              </w:rPr>
                            </w:r>
                          </w:p>
                        </w:txbxContent>
                      </wps:txbx>
                      <wps:bodyPr anchor="t" lIns="0" tIns="12700" rIns="0" bIns="0">
                        <a:noAutofit/>
                      </wps:bodyPr>
                    </wps:wsp>
                  </a:graphicData>
                </a:graphic>
              </wp:anchor>
            </w:drawing>
          </mc:Choice>
          <mc:Fallback>
            <w:pict>
              <v:rect fillcolor="#FFFFFF" style="position:absolute;rotation:-0;width:510.3pt;height:16.5pt;mso-wrap-distance-left:0pt;mso-wrap-distance-right:0pt;mso-wrap-distance-top:0pt;mso-wrap-distance-bottom:0pt;margin-top:311.9pt;mso-position-vertical-relative:page;margin-left:0pt;mso-position-horizontal-relative:margin">
                <v:fill opacity="0f"/>
                <v:textbox inset="0in,0.0138888888888889in,0in,0in">
                  <w:txbxContent>
                    <w:p>
                      <w:pPr>
                        <w:pStyle w:val="ZV"/>
                        <w:rPr>
                          <w:lang w:val="en-GB" w:eastAsia="en-US"/>
                        </w:rPr>
                      </w:pPr>
                      <w:r>
                        <w:rPr>
                          <w:lang w:val="en-GB" w:eastAsia="en-US"/>
                        </w:rPr>
                      </w:r>
                    </w:p>
                  </w:txbxContent>
                </v:textbox>
                <w10:wrap type="topAndBottom"/>
              </v:rect>
            </w:pict>
          </mc:Fallback>
        </mc:AlternateContent>
      </w:r>
    </w:p>
    <w:p>
      <w:pPr>
        <w:pStyle w:val="Normal"/>
        <w:rPr/>
      </w:pPr>
      <w:r>
        <w:rPr/>
      </w:r>
      <w:bookmarkStart w:id="6" w:name="page2"/>
      <w:bookmarkStart w:id="7" w:name="page2"/>
      <w:bookmarkEnd w:id="7"/>
    </w:p>
    <w:p>
      <w:pPr>
        <w:pStyle w:val="Normal"/>
        <w:rPr/>
      </w:pPr>
      <w:r>
        <w:rPr/>
      </w:r>
    </w:p>
    <w:p>
      <w:pPr>
        <w:pStyle w:val="Normal"/>
        <w:rPr/>
      </w:pPr>
      <w:r>
        <w:rPr/>
      </w:r>
      <w:r>
        <mc:AlternateContent>
          <mc:Choice Requires="wps">
            <w:drawing>
              <wp:anchor behindDoc="0" distT="0" distB="0" distL="0" distR="0" simplePos="0" locked="0" layoutInCell="0" allowOverlap="1" relativeHeight="10">
                <wp:simplePos x="0" y="0"/>
                <wp:positionH relativeFrom="margin">
                  <wp:align>left</wp:align>
                </wp:positionH>
                <wp:positionV relativeFrom="page">
                  <wp:posOffset>1800225</wp:posOffset>
                </wp:positionV>
                <wp:extent cx="6121400" cy="452755"/>
                <wp:effectExtent l="0" t="0" r="0" b="0"/>
                <wp:wrapTopAndBottom/>
                <wp:docPr id="9" name="Frame7"/>
                <a:graphic xmlns:a="http://schemas.openxmlformats.org/drawingml/2006/main">
                  <a:graphicData uri="http://schemas.microsoft.com/office/word/2010/wordprocessingShape">
                    <wps:wsp>
                      <wps:cNvSpPr txBox="1"/>
                      <wps:spPr>
                        <a:xfrm>
                          <a:off x="0" y="0"/>
                          <a:ext cx="6121400" cy="452755"/>
                        </a:xfrm>
                        <a:prstGeom prst="rect"/>
                        <a:solidFill>
                          <a:srgbClr val="FFFFFF">
                            <a:alpha val="0"/>
                          </a:srgbClr>
                        </a:solidFill>
                      </wps:spPr>
                      <wps:txbx>
                        <w:txbxContent>
                          <w:p>
                            <w:pPr>
                              <w:pStyle w:val="FP"/>
                              <w:spacing w:before="240" w:after="0"/>
                              <w:ind w:left="2835" w:right="2835"/>
                              <w:jc w:val="center"/>
                              <w:rPr/>
                            </w:pPr>
                            <w:r>
                              <w:rPr/>
                              <w:t>Keywords</w:t>
                            </w:r>
                          </w:p>
                          <w:p>
                            <w:pPr>
                              <w:pStyle w:val="FP"/>
                              <w:ind w:left="2835" w:right="2835"/>
                              <w:jc w:val="center"/>
                              <w:rPr>
                                <w:rFonts w:ascii="Arial" w:hAnsi="Arial" w:cs="Arial"/>
                                <w:sz w:val="18"/>
                              </w:rPr>
                            </w:pPr>
                            <w:r>
                              <w:rPr>
                                <w:rFonts w:cs="Arial" w:ascii="Arial" w:hAnsi="Arial"/>
                                <w:sz w:val="18"/>
                              </w:rPr>
                              <w:t>SCAS, UDM, product class, security, 5G</w:t>
                            </w:r>
                          </w:p>
                        </w:txbxContent>
                      </wps:txbx>
                      <wps:bodyPr anchor="t" lIns="0" tIns="0" rIns="0" bIns="12700">
                        <a:noAutofit/>
                      </wps:bodyPr>
                    </wps:wsp>
                  </a:graphicData>
                </a:graphic>
              </wp:anchor>
            </w:drawing>
          </mc:Choice>
          <mc:Fallback>
            <w:pict>
              <v:rect fillcolor="#FFFFFF" style="position:absolute;rotation:-0;width:482pt;height:35.65pt;mso-wrap-distance-left:0pt;mso-wrap-distance-right:0pt;mso-wrap-distance-top:0pt;mso-wrap-distance-bottom:0pt;margin-top:141.75pt;mso-position-vertical-relative:page;margin-left:0pt;mso-position-horizontal:left;mso-position-horizontal-relative:margin">
                <v:fill opacity="0f"/>
                <v:textbox inset="0in,0in,0in,0.0138888888888889in">
                  <w:txbxContent>
                    <w:p>
                      <w:pPr>
                        <w:pStyle w:val="FP"/>
                        <w:spacing w:before="240" w:after="0"/>
                        <w:ind w:left="2835" w:right="2835"/>
                        <w:jc w:val="center"/>
                        <w:rPr/>
                      </w:pPr>
                      <w:r>
                        <w:rPr/>
                        <w:t>Keywords</w:t>
                      </w:r>
                    </w:p>
                    <w:p>
                      <w:pPr>
                        <w:pStyle w:val="FP"/>
                        <w:ind w:left="2835" w:right="2835"/>
                        <w:jc w:val="center"/>
                        <w:rPr>
                          <w:rFonts w:ascii="Arial" w:hAnsi="Arial" w:cs="Arial"/>
                          <w:sz w:val="18"/>
                        </w:rPr>
                      </w:pPr>
                      <w:r>
                        <w:rPr>
                          <w:rFonts w:cs="Arial" w:ascii="Arial" w:hAnsi="Arial"/>
                          <w:sz w:val="18"/>
                        </w:rPr>
                        <w:t>SCAS, UDM, product class, security, 5G</w:t>
                      </w:r>
                    </w:p>
                  </w:txbxContent>
                </v:textbox>
                <w10:wrap type="topAndBottom"/>
              </v:rect>
            </w:pict>
          </mc:Fallback>
        </mc:AlternateContent>
      </w:r>
    </w:p>
    <w:p>
      <w:pPr>
        <w:pStyle w:val="Normal"/>
        <w:rPr/>
      </w:pPr>
      <w:r>
        <w:rPr/>
      </w:r>
      <w:r>
        <mc:AlternateContent>
          <mc:Choice Requires="wps">
            <w:drawing>
              <wp:anchor behindDoc="0" distT="0" distB="0" distL="0" distR="0" simplePos="0" locked="0" layoutInCell="0" allowOverlap="1" relativeHeight="11">
                <wp:simplePos x="0" y="0"/>
                <wp:positionH relativeFrom="margin">
                  <wp:align>left</wp:align>
                </wp:positionH>
                <wp:positionV relativeFrom="margin">
                  <wp:align>center</wp:align>
                </wp:positionV>
                <wp:extent cx="6121400" cy="1779905"/>
                <wp:effectExtent l="0" t="0" r="0" b="0"/>
                <wp:wrapTopAndBottom/>
                <wp:docPr id="10" name="Frame8"/>
                <a:graphic xmlns:a="http://schemas.openxmlformats.org/drawingml/2006/main">
                  <a:graphicData uri="http://schemas.microsoft.com/office/word/2010/wordprocessingShape">
                    <wps:wsp>
                      <wps:cNvSpPr txBox="1"/>
                      <wps:spPr>
                        <a:xfrm>
                          <a:off x="0" y="0"/>
                          <a:ext cx="6121400" cy="1779905"/>
                        </a:xfrm>
                        <a:prstGeom prst="rect"/>
                        <a:solidFill>
                          <a:srgbClr val="FFFFFF">
                            <a:alpha val="0"/>
                          </a:srgbClr>
                        </a:solidFill>
                      </wps:spPr>
                      <wps:txbx>
                        <w:txbxContent>
                          <w:p>
                            <w:pPr>
                              <w:pStyle w:val="FP"/>
                              <w:spacing w:before="0" w:after="240"/>
                              <w:ind w:left="2835" w:right="2835"/>
                              <w:jc w:val="center"/>
                              <w:rPr>
                                <w:rFonts w:ascii="Arial" w:hAnsi="Arial" w:cs="Arial"/>
                                <w:b/>
                                <w:i/>
                                <w:i/>
                              </w:rPr>
                            </w:pPr>
                            <w:r>
                              <w:rPr>
                                <w:rFonts w:cs="Arial" w:ascii="Arial" w:hAnsi="Arial"/>
                                <w:b/>
                                <w:i/>
                              </w:rPr>
                              <w:t>3GPP</w:t>
                            </w:r>
                          </w:p>
                          <w:p>
                            <w:pPr>
                              <w:pStyle w:val="FP"/>
                              <w:pBdr>
                                <w:bottom w:val="single" w:sz="6" w:space="1" w:color="000000"/>
                              </w:pBdr>
                              <w:ind w:left="2835" w:right="2835"/>
                              <w:jc w:val="center"/>
                              <w:rPr/>
                            </w:pPr>
                            <w:r>
                              <w:rPr/>
                              <w:t>Postal address</w:t>
                            </w:r>
                          </w:p>
                          <w:p>
                            <w:pPr>
                              <w:pStyle w:val="FP"/>
                              <w:ind w:left="2835" w:right="2835"/>
                              <w:jc w:val="center"/>
                              <w:rPr>
                                <w:rFonts w:ascii="Arial" w:hAnsi="Arial" w:cs="Arial"/>
                                <w:sz w:val="18"/>
                              </w:rPr>
                            </w:pPr>
                            <w:r>
                              <w:rPr>
                                <w:rFonts w:cs="Arial" w:ascii="Arial" w:hAnsi="Arial"/>
                                <w:sz w:val="18"/>
                              </w:rPr>
                            </w:r>
                          </w:p>
                          <w:p>
                            <w:pPr>
                              <w:pStyle w:val="FP"/>
                              <w:pBdr>
                                <w:bottom w:val="single" w:sz="6" w:space="1" w:color="000000"/>
                              </w:pBdr>
                              <w:spacing w:before="240" w:after="0"/>
                              <w:ind w:left="2835" w:right="2835"/>
                              <w:jc w:val="center"/>
                              <w:rPr/>
                            </w:pPr>
                            <w:r>
                              <w:rPr/>
                              <w:t>3GPP support office address</w:t>
                            </w:r>
                          </w:p>
                          <w:p>
                            <w:pPr>
                              <w:pStyle w:val="FP"/>
                              <w:ind w:left="2835" w:right="2835"/>
                              <w:jc w:val="center"/>
                              <w:rPr>
                                <w:rFonts w:ascii="Arial" w:hAnsi="Arial" w:cs="Arial"/>
                                <w:sz w:val="18"/>
                              </w:rPr>
                            </w:pPr>
                            <w:r>
                              <w:rPr>
                                <w:rFonts w:cs="Arial" w:ascii="Arial" w:hAnsi="Arial"/>
                                <w:sz w:val="18"/>
                              </w:rPr>
                              <w:t>650 Route des Lucioles - Sophia Antipolis</w:t>
                            </w:r>
                          </w:p>
                          <w:p>
                            <w:pPr>
                              <w:pStyle w:val="FP"/>
                              <w:ind w:left="2835" w:right="2835"/>
                              <w:jc w:val="center"/>
                              <w:rPr/>
                            </w:pPr>
                            <w:r>
                              <w:rPr>
                                <w:rFonts w:cs="Arial" w:ascii="Arial" w:hAnsi="Arial"/>
                                <w:sz w:val="18"/>
                              </w:rPr>
                              <w:t>Valbonne - FRANCE</w:t>
                            </w:r>
                          </w:p>
                          <w:p>
                            <w:pPr>
                              <w:pStyle w:val="FP"/>
                              <w:spacing w:before="0" w:after="20"/>
                              <w:ind w:left="2835" w:right="2835"/>
                              <w:jc w:val="center"/>
                              <w:rPr>
                                <w:rFonts w:ascii="Arial" w:hAnsi="Arial" w:cs="Arial"/>
                                <w:sz w:val="18"/>
                              </w:rPr>
                            </w:pPr>
                            <w:r>
                              <w:rPr>
                                <w:rFonts w:cs="Arial" w:ascii="Arial" w:hAnsi="Arial"/>
                                <w:sz w:val="18"/>
                              </w:rPr>
                              <w:t>Tel.: +33 4 92 94 42 00 Fax: +33 4 93 65 47 16</w:t>
                            </w:r>
                          </w:p>
                          <w:p>
                            <w:pPr>
                              <w:pStyle w:val="FP"/>
                              <w:pBdr>
                                <w:bottom w:val="single" w:sz="6" w:space="1" w:color="000000"/>
                              </w:pBdr>
                              <w:spacing w:before="240" w:after="0"/>
                              <w:ind w:left="2835" w:right="2835"/>
                              <w:jc w:val="center"/>
                              <w:rPr/>
                            </w:pPr>
                            <w:r>
                              <w:rPr/>
                              <w:t>Internet</w:t>
                            </w:r>
                          </w:p>
                          <w:p>
                            <w:pPr>
                              <w:pStyle w:val="FP"/>
                              <w:ind w:left="2835" w:right="2835"/>
                              <w:jc w:val="center"/>
                              <w:rPr>
                                <w:rFonts w:ascii="Arial" w:hAnsi="Arial" w:cs="Arial"/>
                                <w:sz w:val="18"/>
                              </w:rPr>
                            </w:pPr>
                            <w:r>
                              <w:rPr>
                                <w:rFonts w:cs="Arial" w:ascii="Arial" w:hAnsi="Arial"/>
                                <w:sz w:val="18"/>
                              </w:rPr>
                              <w:t>http://www.3gpp.org</w:t>
                            </w:r>
                          </w:p>
                        </w:txbxContent>
                      </wps:txbx>
                      <wps:bodyPr anchor="t" lIns="0" tIns="0" rIns="0" bIns="0">
                        <a:noAutofit/>
                      </wps:bodyPr>
                    </wps:wsp>
                  </a:graphicData>
                </a:graphic>
              </wp:anchor>
            </w:drawing>
          </mc:Choice>
          <mc:Fallback>
            <w:pict>
              <v:rect fillcolor="#FFFFFF" style="position:absolute;rotation:-0;width:482pt;height:140.15pt;mso-wrap-distance-left:0pt;mso-wrap-distance-right:0pt;mso-wrap-distance-top:0pt;mso-wrap-distance-bottom:0pt;margin-top:287.15pt;mso-position-vertical:center;mso-position-vertical-relative:margin;margin-left:0pt;mso-position-horizontal:left;mso-position-horizontal-relative:margin">
                <v:fill opacity="0f"/>
                <v:textbox inset="0in,0in,0in,0in">
                  <w:txbxContent>
                    <w:p>
                      <w:pPr>
                        <w:pStyle w:val="FP"/>
                        <w:spacing w:before="0" w:after="240"/>
                        <w:ind w:left="2835" w:right="2835"/>
                        <w:jc w:val="center"/>
                        <w:rPr>
                          <w:rFonts w:ascii="Arial" w:hAnsi="Arial" w:cs="Arial"/>
                          <w:b/>
                          <w:i/>
                          <w:i/>
                        </w:rPr>
                      </w:pPr>
                      <w:r>
                        <w:rPr>
                          <w:rFonts w:cs="Arial" w:ascii="Arial" w:hAnsi="Arial"/>
                          <w:b/>
                          <w:i/>
                        </w:rPr>
                        <w:t>3GPP</w:t>
                      </w:r>
                    </w:p>
                    <w:p>
                      <w:pPr>
                        <w:pStyle w:val="FP"/>
                        <w:pBdr>
                          <w:bottom w:val="single" w:sz="6" w:space="1" w:color="000000"/>
                        </w:pBdr>
                        <w:ind w:left="2835" w:right="2835"/>
                        <w:jc w:val="center"/>
                        <w:rPr/>
                      </w:pPr>
                      <w:r>
                        <w:rPr/>
                        <w:t>Postal address</w:t>
                      </w:r>
                    </w:p>
                    <w:p>
                      <w:pPr>
                        <w:pStyle w:val="FP"/>
                        <w:ind w:left="2835" w:right="2835"/>
                        <w:jc w:val="center"/>
                        <w:rPr>
                          <w:rFonts w:ascii="Arial" w:hAnsi="Arial" w:cs="Arial"/>
                          <w:sz w:val="18"/>
                        </w:rPr>
                      </w:pPr>
                      <w:r>
                        <w:rPr>
                          <w:rFonts w:cs="Arial" w:ascii="Arial" w:hAnsi="Arial"/>
                          <w:sz w:val="18"/>
                        </w:rPr>
                      </w:r>
                    </w:p>
                    <w:p>
                      <w:pPr>
                        <w:pStyle w:val="FP"/>
                        <w:pBdr>
                          <w:bottom w:val="single" w:sz="6" w:space="1" w:color="000000"/>
                        </w:pBdr>
                        <w:spacing w:before="240" w:after="0"/>
                        <w:ind w:left="2835" w:right="2835"/>
                        <w:jc w:val="center"/>
                        <w:rPr/>
                      </w:pPr>
                      <w:r>
                        <w:rPr/>
                        <w:t>3GPP support office address</w:t>
                      </w:r>
                    </w:p>
                    <w:p>
                      <w:pPr>
                        <w:pStyle w:val="FP"/>
                        <w:ind w:left="2835" w:right="2835"/>
                        <w:jc w:val="center"/>
                        <w:rPr>
                          <w:rFonts w:ascii="Arial" w:hAnsi="Arial" w:cs="Arial"/>
                          <w:sz w:val="18"/>
                        </w:rPr>
                      </w:pPr>
                      <w:r>
                        <w:rPr>
                          <w:rFonts w:cs="Arial" w:ascii="Arial" w:hAnsi="Arial"/>
                          <w:sz w:val="18"/>
                        </w:rPr>
                        <w:t>650 Route des Lucioles - Sophia Antipolis</w:t>
                      </w:r>
                    </w:p>
                    <w:p>
                      <w:pPr>
                        <w:pStyle w:val="FP"/>
                        <w:ind w:left="2835" w:right="2835"/>
                        <w:jc w:val="center"/>
                        <w:rPr/>
                      </w:pPr>
                      <w:r>
                        <w:rPr>
                          <w:rFonts w:cs="Arial" w:ascii="Arial" w:hAnsi="Arial"/>
                          <w:sz w:val="18"/>
                        </w:rPr>
                        <w:t>Valbonne - FRANCE</w:t>
                      </w:r>
                    </w:p>
                    <w:p>
                      <w:pPr>
                        <w:pStyle w:val="FP"/>
                        <w:spacing w:before="0" w:after="20"/>
                        <w:ind w:left="2835" w:right="2835"/>
                        <w:jc w:val="center"/>
                        <w:rPr>
                          <w:rFonts w:ascii="Arial" w:hAnsi="Arial" w:cs="Arial"/>
                          <w:sz w:val="18"/>
                        </w:rPr>
                      </w:pPr>
                      <w:r>
                        <w:rPr>
                          <w:rFonts w:cs="Arial" w:ascii="Arial" w:hAnsi="Arial"/>
                          <w:sz w:val="18"/>
                        </w:rPr>
                        <w:t>Tel.: +33 4 92 94 42 00 Fax: +33 4 93 65 47 16</w:t>
                      </w:r>
                    </w:p>
                    <w:p>
                      <w:pPr>
                        <w:pStyle w:val="FP"/>
                        <w:pBdr>
                          <w:bottom w:val="single" w:sz="6" w:space="1" w:color="000000"/>
                        </w:pBdr>
                        <w:spacing w:before="240" w:after="0"/>
                        <w:ind w:left="2835" w:right="2835"/>
                        <w:jc w:val="center"/>
                        <w:rPr/>
                      </w:pPr>
                      <w:r>
                        <w:rPr/>
                        <w:t>Internet</w:t>
                      </w:r>
                    </w:p>
                    <w:p>
                      <w:pPr>
                        <w:pStyle w:val="FP"/>
                        <w:ind w:left="2835" w:right="2835"/>
                        <w:jc w:val="center"/>
                        <w:rPr>
                          <w:rFonts w:ascii="Arial" w:hAnsi="Arial" w:cs="Arial"/>
                          <w:sz w:val="18"/>
                        </w:rPr>
                      </w:pPr>
                      <w:r>
                        <w:rPr>
                          <w:rFonts w:cs="Arial" w:ascii="Arial" w:hAnsi="Arial"/>
                          <w:sz w:val="18"/>
                        </w:rPr>
                        <w:t>http://www.3gpp.org</w:t>
                      </w:r>
                    </w:p>
                  </w:txbxContent>
                </v:textbox>
                <w10:wrap type="topAndBottom"/>
              </v:rect>
            </w:pict>
          </mc:Fallback>
        </mc:AlternateContent>
      </w:r>
    </w:p>
    <w:p>
      <w:pPr>
        <w:pStyle w:val="TT"/>
        <w:rPr/>
      </w:pPr>
      <w:r>
        <w:rPr/>
      </w:r>
      <w:bookmarkStart w:id="8" w:name="page2"/>
      <w:bookmarkStart w:id="9" w:name="page2"/>
      <w:bookmarkEnd w:id="9"/>
      <w:r>
        <w:br w:type="page"/>
      </w:r>
      <w:r>
        <mc:AlternateContent>
          <mc:Choice Requires="wps">
            <w:drawing>
              <wp:anchor behindDoc="0" distT="0" distB="0" distL="0" distR="0" simplePos="0" locked="0" layoutInCell="0" allowOverlap="1" relativeHeight="12">
                <wp:simplePos x="0" y="0"/>
                <wp:positionH relativeFrom="margin">
                  <wp:align>left</wp:align>
                </wp:positionH>
                <wp:positionV relativeFrom="page">
                  <wp:posOffset>8004175</wp:posOffset>
                </wp:positionV>
                <wp:extent cx="6121400" cy="1941195"/>
                <wp:effectExtent l="0" t="0" r="0" b="0"/>
                <wp:wrapTopAndBottom/>
                <wp:docPr id="11" name="Frame9"/>
                <a:graphic xmlns:a="http://schemas.openxmlformats.org/drawingml/2006/main">
                  <a:graphicData uri="http://schemas.microsoft.com/office/word/2010/wordprocessingShape">
                    <wps:wsp>
                      <wps:cNvSpPr txBox="1"/>
                      <wps:spPr>
                        <a:xfrm>
                          <a:off x="0" y="0"/>
                          <a:ext cx="6121400" cy="1941195"/>
                        </a:xfrm>
                        <a:prstGeom prst="rect"/>
                        <a:solidFill>
                          <a:srgbClr val="FFFFFF">
                            <a:alpha val="0"/>
                          </a:srgbClr>
                        </a:solidFill>
                      </wps:spPr>
                      <wps:txbx>
                        <w:txbxContent>
                          <w:p>
                            <w:pPr>
                              <w:pStyle w:val="FP"/>
                              <w:spacing w:before="0" w:after="240"/>
                              <w:jc w:val="center"/>
                              <w:rPr>
                                <w:rFonts w:ascii="Arial" w:hAnsi="Arial" w:cs="Arial"/>
                                <w:b/>
                                <w:i/>
                                <w:i/>
                              </w:rPr>
                            </w:pPr>
                            <w:r>
                              <w:rPr>
                                <w:rFonts w:cs="Arial" w:ascii="Arial" w:hAnsi="Arial"/>
                                <w:b/>
                                <w:i/>
                              </w:rPr>
                              <w:t>Copyright Notification</w:t>
                            </w:r>
                          </w:p>
                          <w:p>
                            <w:pPr>
                              <w:pStyle w:val="FP"/>
                              <w:jc w:val="center"/>
                              <w:rPr/>
                            </w:pPr>
                            <w:r>
                              <w:rPr/>
                              <w:t>No part may be reproduced except as authorized by written permission.</w:t>
                              <w:br/>
                              <w:t>The copyright and the foregoing restriction extend to reproduction in all media.</w:t>
                            </w:r>
                          </w:p>
                          <w:p>
                            <w:pPr>
                              <w:pStyle w:val="FP"/>
                              <w:jc w:val="center"/>
                              <w:rPr/>
                            </w:pPr>
                            <w:r>
                              <w:rPr/>
                            </w:r>
                          </w:p>
                          <w:p>
                            <w:pPr>
                              <w:pStyle w:val="FP"/>
                              <w:jc w:val="center"/>
                              <w:rPr/>
                            </w:pPr>
                            <w:r>
                              <w:rPr>
                                <w:sz w:val="18"/>
                              </w:rPr>
                              <w:t>© 2025, 3GPP Organizational Partners (ARIB, ATIS, CCSA, ETSI, TSDSI, TTA, TTC).</w:t>
                            </w:r>
                            <w:bookmarkStart w:id="10" w:name="copyrightaddon"/>
                            <w:bookmarkEnd w:id="10"/>
                          </w:p>
                          <w:p>
                            <w:pPr>
                              <w:pStyle w:val="FP"/>
                              <w:jc w:val="center"/>
                              <w:rPr>
                                <w:sz w:val="18"/>
                              </w:rPr>
                            </w:pPr>
                            <w:r>
                              <w:rPr>
                                <w:sz w:val="18"/>
                              </w:rPr>
                              <w:t>All rights reserved.</w:t>
                            </w:r>
                          </w:p>
                          <w:p>
                            <w:pPr>
                              <w:pStyle w:val="FP"/>
                              <w:rPr>
                                <w:sz w:val="18"/>
                              </w:rPr>
                            </w:pPr>
                            <w:r>
                              <w:rPr>
                                <w:sz w:val="18"/>
                              </w:rPr>
                            </w:r>
                          </w:p>
                          <w:p>
                            <w:pPr>
                              <w:pStyle w:val="FP"/>
                              <w:rPr>
                                <w:sz w:val="18"/>
                              </w:rPr>
                            </w:pPr>
                            <w:r>
                              <w:rPr>
                                <w:sz w:val="18"/>
                              </w:rPr>
                              <w:t>UMTS™ is a Trade Mark of ETSI registered for the benefit of its members</w:t>
                            </w:r>
                          </w:p>
                          <w:p>
                            <w:pPr>
                              <w:pStyle w:val="FP"/>
                              <w:rPr>
                                <w:sz w:val="18"/>
                              </w:rPr>
                            </w:pPr>
                            <w:r>
                              <w:rPr>
                                <w:sz w:val="18"/>
                              </w:rPr>
                              <w:t>3GPP™ is a Trade Mark of ETSI registered for the benefit of its Members and of the 3GPP Organizational Partners</w:t>
                              <w:br/>
                              <w:t>LTE™ is a Trade Mark of ETSI registered for the benefit of its Members and of the 3GPP Organizational Partners</w:t>
                            </w:r>
                          </w:p>
                          <w:p>
                            <w:pPr>
                              <w:pStyle w:val="FP"/>
                              <w:rPr>
                                <w:sz w:val="18"/>
                              </w:rPr>
                            </w:pPr>
                            <w:r>
                              <w:rPr>
                                <w:sz w:val="18"/>
                              </w:rPr>
                              <w:t>GSM® and the GSM logo are registered and owned by the GSM Association</w:t>
                            </w:r>
                          </w:p>
                        </w:txbxContent>
                      </wps:txbx>
                      <wps:bodyPr anchor="t" lIns="0" tIns="0" rIns="0" bIns="12700">
                        <a:noAutofit/>
                      </wps:bodyPr>
                    </wps:wsp>
                  </a:graphicData>
                </a:graphic>
              </wp:anchor>
            </w:drawing>
          </mc:Choice>
          <mc:Fallback>
            <w:pict>
              <v:rect fillcolor="#FFFFFF" style="position:absolute;rotation:-0;width:482pt;height:152.85pt;mso-wrap-distance-left:0pt;mso-wrap-distance-right:0pt;mso-wrap-distance-top:0pt;mso-wrap-distance-bottom:0pt;margin-top:630.25pt;mso-position-vertical-relative:page;margin-left:0pt;mso-position-horizontal:left;mso-position-horizontal-relative:margin">
                <v:fill opacity="0f"/>
                <v:textbox inset="0in,0in,0in,0.0138888888888889in">
                  <w:txbxContent>
                    <w:p>
                      <w:pPr>
                        <w:pStyle w:val="FP"/>
                        <w:spacing w:before="0" w:after="240"/>
                        <w:jc w:val="center"/>
                        <w:rPr>
                          <w:rFonts w:ascii="Arial" w:hAnsi="Arial" w:cs="Arial"/>
                          <w:b/>
                          <w:i/>
                          <w:i/>
                        </w:rPr>
                      </w:pPr>
                      <w:r>
                        <w:rPr>
                          <w:rFonts w:cs="Arial" w:ascii="Arial" w:hAnsi="Arial"/>
                          <w:b/>
                          <w:i/>
                        </w:rPr>
                        <w:t>Copyright Notification</w:t>
                      </w:r>
                    </w:p>
                    <w:p>
                      <w:pPr>
                        <w:pStyle w:val="FP"/>
                        <w:jc w:val="center"/>
                        <w:rPr/>
                      </w:pPr>
                      <w:r>
                        <w:rPr/>
                        <w:t>No part may be reproduced except as authorized by written permission.</w:t>
                        <w:br/>
                        <w:t>The copyright and the foregoing restriction extend to reproduction in all media.</w:t>
                      </w:r>
                    </w:p>
                    <w:p>
                      <w:pPr>
                        <w:pStyle w:val="FP"/>
                        <w:jc w:val="center"/>
                        <w:rPr/>
                      </w:pPr>
                      <w:r>
                        <w:rPr/>
                      </w:r>
                    </w:p>
                    <w:p>
                      <w:pPr>
                        <w:pStyle w:val="FP"/>
                        <w:jc w:val="center"/>
                        <w:rPr/>
                      </w:pPr>
                      <w:r>
                        <w:rPr>
                          <w:sz w:val="18"/>
                        </w:rPr>
                        <w:t>© 2025, 3GPP Organizational Partners (ARIB, ATIS, CCSA, ETSI, TSDSI, TTA, TTC).</w:t>
                      </w:r>
                      <w:bookmarkStart w:id="11" w:name="copyrightaddon"/>
                      <w:bookmarkEnd w:id="11"/>
                    </w:p>
                    <w:p>
                      <w:pPr>
                        <w:pStyle w:val="FP"/>
                        <w:jc w:val="center"/>
                        <w:rPr>
                          <w:sz w:val="18"/>
                        </w:rPr>
                      </w:pPr>
                      <w:r>
                        <w:rPr>
                          <w:sz w:val="18"/>
                        </w:rPr>
                        <w:t>All rights reserved.</w:t>
                      </w:r>
                    </w:p>
                    <w:p>
                      <w:pPr>
                        <w:pStyle w:val="FP"/>
                        <w:rPr>
                          <w:sz w:val="18"/>
                        </w:rPr>
                      </w:pPr>
                      <w:r>
                        <w:rPr>
                          <w:sz w:val="18"/>
                        </w:rPr>
                      </w:r>
                    </w:p>
                    <w:p>
                      <w:pPr>
                        <w:pStyle w:val="FP"/>
                        <w:rPr>
                          <w:sz w:val="18"/>
                        </w:rPr>
                      </w:pPr>
                      <w:r>
                        <w:rPr>
                          <w:sz w:val="18"/>
                        </w:rPr>
                        <w:t>UMTS™ is a Trade Mark of ETSI registered for the benefit of its members</w:t>
                      </w:r>
                    </w:p>
                    <w:p>
                      <w:pPr>
                        <w:pStyle w:val="FP"/>
                        <w:rPr>
                          <w:sz w:val="18"/>
                        </w:rPr>
                      </w:pPr>
                      <w:r>
                        <w:rPr>
                          <w:sz w:val="18"/>
                        </w:rPr>
                        <w:t>3GPP™ is a Trade Mark of ETSI registered for the benefit of its Members and of the 3GPP Organizational Partners</w:t>
                        <w:br/>
                        <w:t>LTE™ is a Trade Mark of ETSI registered for the benefit of its Members and of the 3GPP Organizational Partners</w:t>
                      </w:r>
                    </w:p>
                    <w:p>
                      <w:pPr>
                        <w:pStyle w:val="FP"/>
                        <w:rPr>
                          <w:sz w:val="18"/>
                        </w:rPr>
                      </w:pPr>
                      <w:r>
                        <w:rPr>
                          <w:sz w:val="18"/>
                        </w:rPr>
                        <w:t>GSM® and the GSM logo are registered and owned by the GSM Association</w:t>
                      </w:r>
                    </w:p>
                  </w:txbxContent>
                </v:textbox>
                <w10:wrap type="topAndBottom"/>
              </v:rect>
            </w:pict>
          </mc:Fallback>
        </mc:AlternateContent>
      </w:r>
    </w:p>
    <w:p>
      <w:pPr>
        <w:pStyle w:val="TT"/>
        <w:rPr/>
      </w:pPr>
      <w:r>
        <w:rPr/>
        <w:t>Contents</w:t>
      </w:r>
    </w:p>
    <w:sdt>
      <w:sdtPr>
        <w:docPartObj>
          <w:docPartGallery w:val="Table of Contents"/>
          <w:docPartUnique w:val="true"/>
        </w:docPartObj>
      </w:sdtPr>
      <w:sdtContent>
        <w:p>
          <w:pPr>
            <w:pStyle w:val="TOC1"/>
            <w:rPr>
              <w:rFonts w:ascii="Calibri" w:hAnsi="Calibri" w:cs="Calibri"/>
              <w:szCs w:val="22"/>
              <w:lang w:val="en-US" w:eastAsia="en-US"/>
            </w:rPr>
          </w:pPr>
          <w:r>
            <w:fldChar w:fldCharType="begin"/>
          </w:r>
          <w:r>
            <w:rPr>
              <w:lang w:val="en-US" w:eastAsia="en-US"/>
            </w:rPr>
            <w:instrText xml:space="preserve"> TOC \o "1-9" </w:instrText>
          </w:r>
          <w:r>
            <w:rPr>
              <w:lang w:val="en-US" w:eastAsia="en-US"/>
            </w:rPr>
            <w:fldChar w:fldCharType="separate"/>
          </w:r>
          <w:r>
            <w:rPr>
              <w:lang w:val="en-US" w:eastAsia="en-US"/>
            </w:rPr>
            <w:t>Foreword</w:t>
            <w:tab/>
          </w:r>
          <w:hyperlink w:anchor="__RefHeading___Toc153454897">
            <w:r>
              <w:rPr>
                <w:rStyle w:val="IndexLink"/>
                <w:lang w:val="en-US" w:eastAsia="en-US"/>
              </w:rPr>
              <w:t>4</w:t>
            </w:r>
          </w:hyperlink>
        </w:p>
        <w:p>
          <w:pPr>
            <w:pStyle w:val="TOC1"/>
            <w:rPr>
              <w:rFonts w:ascii="Calibri" w:hAnsi="Calibri" w:cs="Calibri"/>
              <w:szCs w:val="22"/>
              <w:lang w:val="en-US" w:eastAsia="en-US"/>
            </w:rPr>
          </w:pPr>
          <w:r>
            <w:rPr>
              <w:lang w:val="en-US" w:eastAsia="en-US"/>
            </w:rPr>
            <w:t>1</w:t>
          </w:r>
          <w:r>
            <w:rPr>
              <w:rFonts w:cs="Calibri" w:ascii="Calibri" w:hAnsi="Calibri"/>
              <w:szCs w:val="22"/>
              <w:lang w:val="en-US" w:eastAsia="en-US"/>
            </w:rPr>
            <w:tab/>
          </w:r>
          <w:r>
            <w:rPr>
              <w:lang w:val="en-US" w:eastAsia="en-US"/>
            </w:rPr>
            <w:t>Scope</w:t>
            <w:tab/>
          </w:r>
          <w:hyperlink w:anchor="__RefHeading___Toc153454898">
            <w:r>
              <w:rPr>
                <w:rStyle w:val="IndexLink"/>
                <w:lang w:val="en-US" w:eastAsia="en-US"/>
              </w:rPr>
              <w:t>6</w:t>
            </w:r>
          </w:hyperlink>
        </w:p>
        <w:p>
          <w:pPr>
            <w:pStyle w:val="TOC1"/>
            <w:rPr>
              <w:rFonts w:ascii="Calibri" w:hAnsi="Calibri" w:cs="Calibri"/>
              <w:szCs w:val="22"/>
              <w:lang w:val="en-US" w:eastAsia="en-US"/>
            </w:rPr>
          </w:pPr>
          <w:r>
            <w:rPr>
              <w:lang w:val="en-US" w:eastAsia="en-US"/>
            </w:rPr>
            <w:t>2</w:t>
          </w:r>
          <w:r>
            <w:rPr>
              <w:rFonts w:cs="Calibri" w:ascii="Calibri" w:hAnsi="Calibri"/>
              <w:szCs w:val="22"/>
              <w:lang w:val="en-US" w:eastAsia="en-US"/>
            </w:rPr>
            <w:tab/>
          </w:r>
          <w:r>
            <w:rPr>
              <w:lang w:val="en-US" w:eastAsia="en-US"/>
            </w:rPr>
            <w:t>References</w:t>
            <w:tab/>
          </w:r>
          <w:hyperlink w:anchor="__RefHeading___Toc153454899">
            <w:r>
              <w:rPr>
                <w:rStyle w:val="IndexLink"/>
                <w:lang w:val="en-US" w:eastAsia="en-US"/>
              </w:rPr>
              <w:t>6</w:t>
            </w:r>
          </w:hyperlink>
        </w:p>
        <w:p>
          <w:pPr>
            <w:pStyle w:val="TOC1"/>
            <w:rPr>
              <w:rFonts w:ascii="Calibri" w:hAnsi="Calibri" w:cs="Calibri"/>
              <w:szCs w:val="22"/>
              <w:lang w:val="en-US" w:eastAsia="en-US"/>
            </w:rPr>
          </w:pPr>
          <w:r>
            <w:rPr>
              <w:lang w:val="en-US" w:eastAsia="en-US"/>
            </w:rPr>
            <w:t>3</w:t>
          </w:r>
          <w:r>
            <w:rPr>
              <w:rFonts w:cs="Calibri" w:ascii="Calibri" w:hAnsi="Calibri"/>
              <w:szCs w:val="22"/>
              <w:lang w:val="en-US" w:eastAsia="en-US"/>
            </w:rPr>
            <w:tab/>
          </w:r>
          <w:r>
            <w:rPr>
              <w:lang w:val="en-US" w:eastAsia="en-US"/>
            </w:rPr>
            <w:t>Definitions of terms, symbols and abbreviations</w:t>
            <w:tab/>
          </w:r>
          <w:hyperlink w:anchor="__RefHeading___Toc153454900">
            <w:r>
              <w:rPr>
                <w:rStyle w:val="IndexLink"/>
                <w:lang w:val="en-US" w:eastAsia="en-US"/>
              </w:rPr>
              <w:t>6</w:t>
            </w:r>
          </w:hyperlink>
        </w:p>
        <w:p>
          <w:pPr>
            <w:pStyle w:val="TOC2"/>
            <w:rPr>
              <w:rFonts w:ascii="Calibri" w:hAnsi="Calibri" w:cs="Calibri"/>
              <w:sz w:val="22"/>
              <w:szCs w:val="22"/>
              <w:lang w:val="en-US" w:eastAsia="en-US"/>
            </w:rPr>
          </w:pPr>
          <w:r>
            <w:rPr>
              <w:lang w:val="en-US" w:eastAsia="en-US"/>
            </w:rPr>
            <w:t>3.1</w:t>
          </w:r>
          <w:r>
            <w:rPr>
              <w:rFonts w:cs="Calibri" w:ascii="Calibri" w:hAnsi="Calibri"/>
              <w:sz w:val="22"/>
              <w:szCs w:val="22"/>
              <w:lang w:val="en-US" w:eastAsia="en-US"/>
            </w:rPr>
            <w:tab/>
          </w:r>
          <w:r>
            <w:rPr>
              <w:lang w:val="en-US" w:eastAsia="en-US"/>
            </w:rPr>
            <w:t>Terms</w:t>
            <w:tab/>
          </w:r>
          <w:hyperlink w:anchor="__RefHeading___Toc153454901">
            <w:r>
              <w:rPr>
                <w:rStyle w:val="IndexLink"/>
                <w:lang w:val="en-US" w:eastAsia="en-US"/>
              </w:rPr>
              <w:t>6</w:t>
            </w:r>
          </w:hyperlink>
        </w:p>
        <w:p>
          <w:pPr>
            <w:pStyle w:val="TOC2"/>
            <w:rPr>
              <w:rFonts w:ascii="Calibri" w:hAnsi="Calibri" w:cs="Calibri"/>
              <w:sz w:val="22"/>
              <w:szCs w:val="22"/>
              <w:lang w:val="en-US" w:eastAsia="en-US"/>
            </w:rPr>
          </w:pPr>
          <w:r>
            <w:rPr>
              <w:lang w:val="en-US" w:eastAsia="en-US"/>
            </w:rPr>
            <w:t>3.2</w:t>
          </w:r>
          <w:r>
            <w:rPr>
              <w:rFonts w:cs="Calibri" w:ascii="Calibri" w:hAnsi="Calibri"/>
              <w:sz w:val="22"/>
              <w:szCs w:val="22"/>
              <w:lang w:val="en-US" w:eastAsia="en-US"/>
            </w:rPr>
            <w:tab/>
          </w:r>
          <w:r>
            <w:rPr>
              <w:lang w:val="en-US" w:eastAsia="en-US"/>
            </w:rPr>
            <w:t>Symbols</w:t>
            <w:tab/>
          </w:r>
          <w:hyperlink w:anchor="__RefHeading___Toc153454902">
            <w:r>
              <w:rPr>
                <w:rStyle w:val="IndexLink"/>
                <w:lang w:val="en-US" w:eastAsia="en-US"/>
              </w:rPr>
              <w:t>6</w:t>
            </w:r>
          </w:hyperlink>
        </w:p>
        <w:p>
          <w:pPr>
            <w:pStyle w:val="TOC2"/>
            <w:rPr>
              <w:rFonts w:ascii="Calibri" w:hAnsi="Calibri" w:cs="Calibri"/>
              <w:sz w:val="22"/>
              <w:szCs w:val="22"/>
              <w:lang w:val="en-US" w:eastAsia="en-US"/>
            </w:rPr>
          </w:pPr>
          <w:r>
            <w:rPr>
              <w:lang w:val="en-US" w:eastAsia="en-US"/>
            </w:rPr>
            <w:t>3.3</w:t>
          </w:r>
          <w:r>
            <w:rPr>
              <w:rFonts w:cs="Calibri" w:ascii="Calibri" w:hAnsi="Calibri"/>
              <w:sz w:val="22"/>
              <w:szCs w:val="22"/>
              <w:lang w:val="en-US" w:eastAsia="en-US"/>
            </w:rPr>
            <w:tab/>
          </w:r>
          <w:r>
            <w:rPr>
              <w:lang w:val="en-US" w:eastAsia="en-US"/>
            </w:rPr>
            <w:t>Abbreviations</w:t>
            <w:tab/>
          </w:r>
          <w:hyperlink w:anchor="__RefHeading___Toc153454903">
            <w:r>
              <w:rPr>
                <w:rStyle w:val="IndexLink"/>
                <w:lang w:val="en-US" w:eastAsia="en-US"/>
              </w:rPr>
              <w:t>7</w:t>
            </w:r>
          </w:hyperlink>
        </w:p>
        <w:p>
          <w:pPr>
            <w:pStyle w:val="TOC1"/>
            <w:rPr>
              <w:rFonts w:ascii="Calibri" w:hAnsi="Calibri" w:cs="Calibri"/>
              <w:szCs w:val="22"/>
              <w:lang w:val="en-US" w:eastAsia="en-US"/>
            </w:rPr>
          </w:pPr>
          <w:r>
            <w:rPr>
              <w:lang w:val="en-US" w:eastAsia="en-US"/>
            </w:rPr>
            <w:t>4</w:t>
          </w:r>
          <w:r>
            <w:rPr>
              <w:rFonts w:cs="Calibri" w:ascii="Calibri" w:hAnsi="Calibri"/>
              <w:szCs w:val="22"/>
              <w:lang w:val="en-US" w:eastAsia="en-US"/>
            </w:rPr>
            <w:tab/>
          </w:r>
          <w:r>
            <w:rPr>
              <w:lang w:val="en-US" w:eastAsia="en-US"/>
            </w:rPr>
            <w:t>UDM-specific security requirements and related test cases</w:t>
            <w:tab/>
          </w:r>
          <w:hyperlink w:anchor="__RefHeading___Toc153454904">
            <w:r>
              <w:rPr>
                <w:rStyle w:val="IndexLink"/>
                <w:lang w:val="en-US" w:eastAsia="en-US"/>
              </w:rPr>
              <w:t>7</w:t>
            </w:r>
          </w:hyperlink>
        </w:p>
        <w:p>
          <w:pPr>
            <w:pStyle w:val="TOC2"/>
            <w:rPr>
              <w:rFonts w:ascii="Calibri" w:hAnsi="Calibri" w:cs="Calibri"/>
              <w:sz w:val="22"/>
              <w:szCs w:val="22"/>
              <w:lang w:val="en-US" w:eastAsia="en-US"/>
            </w:rPr>
          </w:pPr>
          <w:r>
            <w:rPr>
              <w:lang w:val="en-US" w:eastAsia="en-US"/>
            </w:rPr>
            <w:t>4.1</w:t>
          </w:r>
          <w:r>
            <w:rPr>
              <w:rFonts w:cs="Calibri" w:ascii="Calibri" w:hAnsi="Calibri"/>
              <w:sz w:val="22"/>
              <w:szCs w:val="22"/>
              <w:lang w:val="en-US" w:eastAsia="en-US"/>
            </w:rPr>
            <w:tab/>
          </w:r>
          <w:r>
            <w:rPr>
              <w:lang w:val="en-US" w:eastAsia="en-US"/>
            </w:rPr>
            <w:t>Introduction</w:t>
            <w:tab/>
          </w:r>
          <w:hyperlink w:anchor="__RefHeading___Toc153454905">
            <w:r>
              <w:rPr>
                <w:rStyle w:val="IndexLink"/>
                <w:lang w:val="en-US" w:eastAsia="en-US"/>
              </w:rPr>
              <w:t>7</w:t>
            </w:r>
          </w:hyperlink>
        </w:p>
        <w:p>
          <w:pPr>
            <w:pStyle w:val="TOC2"/>
            <w:rPr>
              <w:rFonts w:ascii="Calibri" w:hAnsi="Calibri" w:cs="Calibri"/>
              <w:sz w:val="22"/>
              <w:szCs w:val="22"/>
              <w:lang w:val="en-US" w:eastAsia="en-US"/>
            </w:rPr>
          </w:pPr>
          <w:r>
            <w:rPr>
              <w:lang w:val="en-US" w:eastAsia="en-US"/>
            </w:rPr>
            <w:t>4.2</w:t>
          </w:r>
          <w:r>
            <w:rPr>
              <w:rFonts w:cs="Calibri" w:ascii="Calibri" w:hAnsi="Calibri"/>
              <w:sz w:val="22"/>
              <w:szCs w:val="22"/>
              <w:lang w:val="en-US" w:eastAsia="en-US"/>
            </w:rPr>
            <w:tab/>
          </w:r>
          <w:r>
            <w:rPr>
              <w:lang w:val="en-US" w:eastAsia="en-US"/>
            </w:rPr>
            <w:t>Security functional requirements on the UDM derived from 3GPP specifications and related test cases</w:t>
            <w:tab/>
          </w:r>
          <w:hyperlink w:anchor="__RefHeading___Toc153454906">
            <w:r>
              <w:rPr>
                <w:rStyle w:val="IndexLink"/>
                <w:lang w:val="en-US" w:eastAsia="en-US"/>
              </w:rPr>
              <w:t>7</w:t>
            </w:r>
          </w:hyperlink>
        </w:p>
        <w:p>
          <w:pPr>
            <w:pStyle w:val="TOC3"/>
            <w:rPr>
              <w:rFonts w:ascii="Calibri" w:hAnsi="Calibri" w:cs="Calibri"/>
              <w:sz w:val="22"/>
              <w:szCs w:val="22"/>
              <w:lang w:val="en-US" w:eastAsia="en-US"/>
            </w:rPr>
          </w:pPr>
          <w:r>
            <w:rPr>
              <w:rFonts w:eastAsia="SimSun;宋体"/>
              <w:lang w:val="en-US" w:eastAsia="en-US"/>
            </w:rPr>
            <w:t>4.2.0</w:t>
          </w:r>
          <w:r>
            <w:rPr>
              <w:rFonts w:cs="Calibri" w:ascii="Calibri" w:hAnsi="Calibri"/>
              <w:sz w:val="22"/>
              <w:szCs w:val="22"/>
              <w:lang w:val="en-US" w:eastAsia="en-US"/>
            </w:rPr>
            <w:tab/>
          </w:r>
          <w:r>
            <w:rPr>
              <w:rFonts w:eastAsia="SimSun;宋体"/>
              <w:lang w:val="en-US" w:eastAsia="en-US"/>
            </w:rPr>
            <w:t>General</w:t>
          </w:r>
          <w:r>
            <w:rPr>
              <w:lang w:val="en-US" w:eastAsia="en-US"/>
            </w:rPr>
            <w:tab/>
          </w:r>
          <w:hyperlink w:anchor="__RefHeading___Toc153454907">
            <w:r>
              <w:rPr>
                <w:rStyle w:val="IndexLink"/>
                <w:lang w:val="en-US" w:eastAsia="en-US"/>
              </w:rPr>
              <w:t>7</w:t>
            </w:r>
          </w:hyperlink>
        </w:p>
        <w:p>
          <w:pPr>
            <w:pStyle w:val="TOC3"/>
            <w:rPr>
              <w:rFonts w:ascii="Calibri" w:hAnsi="Calibri" w:cs="Calibri"/>
              <w:sz w:val="22"/>
              <w:szCs w:val="22"/>
              <w:lang w:val="en-US" w:eastAsia="en-US"/>
            </w:rPr>
          </w:pPr>
          <w:r>
            <w:rPr>
              <w:lang w:val="en-US" w:eastAsia="en-US"/>
            </w:rPr>
            <w:t>4.2.1</w:t>
          </w:r>
          <w:r>
            <w:rPr>
              <w:rFonts w:cs="Calibri" w:ascii="Calibri" w:hAnsi="Calibri"/>
              <w:sz w:val="22"/>
              <w:szCs w:val="22"/>
              <w:lang w:val="en-US" w:eastAsia="en-US"/>
            </w:rPr>
            <w:tab/>
          </w:r>
          <w:r>
            <w:rPr>
              <w:lang w:val="en-US" w:eastAsia="en-US"/>
            </w:rPr>
            <w:t>User Privacy Procedure</w:t>
            <w:tab/>
          </w:r>
          <w:hyperlink w:anchor="__RefHeading___Toc153454908">
            <w:r>
              <w:rPr>
                <w:rStyle w:val="IndexLink"/>
                <w:lang w:val="en-US" w:eastAsia="en-US"/>
              </w:rPr>
              <w:t>7</w:t>
            </w:r>
          </w:hyperlink>
        </w:p>
        <w:p>
          <w:pPr>
            <w:pStyle w:val="TOC4"/>
            <w:rPr>
              <w:rFonts w:ascii="Calibri" w:hAnsi="Calibri" w:cs="Calibri"/>
              <w:sz w:val="22"/>
              <w:szCs w:val="22"/>
              <w:lang w:val="en-US" w:eastAsia="en-US"/>
            </w:rPr>
          </w:pPr>
          <w:r>
            <w:rPr>
              <w:lang w:val="en-US" w:eastAsia="en-US"/>
            </w:rPr>
            <w:t>4.2.1.1</w:t>
          </w:r>
          <w:r>
            <w:rPr>
              <w:rFonts w:cs="Calibri" w:ascii="Calibri" w:hAnsi="Calibri"/>
              <w:sz w:val="22"/>
              <w:szCs w:val="22"/>
              <w:lang w:val="en-US" w:eastAsia="en-US"/>
            </w:rPr>
            <w:tab/>
          </w:r>
          <w:r>
            <w:rPr>
              <w:lang w:val="en-US" w:eastAsia="en-US"/>
            </w:rPr>
            <w:t>De-concealment of SUPI from the SUCI based on the protection scheme used to generate the SUCI</w:t>
            <w:tab/>
          </w:r>
          <w:hyperlink w:anchor="__RefHeading___Toc153454909">
            <w:r>
              <w:rPr>
                <w:rStyle w:val="IndexLink"/>
                <w:lang w:val="en-US" w:eastAsia="en-US"/>
              </w:rPr>
              <w:t>7</w:t>
            </w:r>
          </w:hyperlink>
        </w:p>
        <w:p>
          <w:pPr>
            <w:pStyle w:val="TOC4"/>
            <w:rPr>
              <w:rFonts w:ascii="Calibri" w:hAnsi="Calibri" w:cs="Calibri"/>
              <w:sz w:val="22"/>
              <w:szCs w:val="22"/>
              <w:lang w:val="en-US" w:eastAsia="en-US"/>
            </w:rPr>
          </w:pPr>
          <w:r>
            <w:rPr>
              <w:lang w:val="en-US" w:eastAsia="en-US"/>
            </w:rPr>
            <w:t>4.2.1.2</w:t>
          </w:r>
          <w:r>
            <w:rPr>
              <w:rFonts w:cs="Calibri" w:ascii="Calibri" w:hAnsi="Calibri"/>
              <w:sz w:val="22"/>
              <w:szCs w:val="22"/>
              <w:lang w:val="en-US" w:eastAsia="en-US"/>
            </w:rPr>
            <w:tab/>
          </w:r>
          <w:r>
            <w:rPr>
              <w:lang w:val="en-US" w:eastAsia="en-US"/>
            </w:rPr>
            <w:t>Rejection of SUCIs using an ECIES protection scheme with an invalid public key.</w:t>
            <w:tab/>
          </w:r>
          <w:hyperlink w:anchor="__RefHeading___Toc153454910">
            <w:r>
              <w:rPr>
                <w:rStyle w:val="IndexLink"/>
                <w:lang w:val="en-US" w:eastAsia="en-US"/>
              </w:rPr>
              <w:t>8</w:t>
            </w:r>
          </w:hyperlink>
        </w:p>
        <w:p>
          <w:pPr>
            <w:pStyle w:val="TOC4"/>
            <w:rPr>
              <w:rFonts w:ascii="Calibri" w:hAnsi="Calibri" w:cs="Calibri"/>
              <w:sz w:val="22"/>
              <w:szCs w:val="22"/>
              <w:lang w:val="en-US" w:eastAsia="en-US"/>
            </w:rPr>
          </w:pPr>
          <w:r>
            <w:rPr>
              <w:lang w:val="en-US" w:eastAsia="en-US"/>
            </w:rPr>
            <w:t>4.2.1.3</w:t>
          </w:r>
          <w:r>
            <w:rPr>
              <w:rFonts w:cs="Calibri" w:ascii="Calibri" w:hAnsi="Calibri"/>
              <w:sz w:val="22"/>
              <w:szCs w:val="22"/>
              <w:lang w:val="en-US" w:eastAsia="en-US"/>
            </w:rPr>
            <w:tab/>
          </w:r>
          <w:r>
            <w:rPr>
              <w:lang w:val="en-US" w:eastAsia="en-US"/>
            </w:rPr>
            <w:t>Rejection of SUCIs using an uncompressed point with Profile B.</w:t>
            <w:tab/>
          </w:r>
          <w:hyperlink w:anchor="__RefHeading___Toc153454911">
            <w:r>
              <w:rPr>
                <w:rStyle w:val="IndexLink"/>
                <w:lang w:val="en-US" w:eastAsia="en-US"/>
              </w:rPr>
              <w:t>9</w:t>
            </w:r>
          </w:hyperlink>
        </w:p>
        <w:p>
          <w:pPr>
            <w:pStyle w:val="TOC3"/>
            <w:rPr>
              <w:rFonts w:ascii="Calibri" w:hAnsi="Calibri" w:cs="Calibri"/>
              <w:sz w:val="22"/>
              <w:szCs w:val="22"/>
              <w:lang w:val="en-US" w:eastAsia="en-US"/>
            </w:rPr>
          </w:pPr>
          <w:r>
            <w:rPr>
              <w:lang w:val="en-US" w:eastAsia="en-US"/>
            </w:rPr>
            <w:t>4.2.2</w:t>
          </w:r>
          <w:r>
            <w:rPr>
              <w:rFonts w:cs="Calibri" w:ascii="Calibri" w:hAnsi="Calibri"/>
              <w:sz w:val="22"/>
              <w:szCs w:val="22"/>
              <w:lang w:val="en-US" w:eastAsia="en-US"/>
            </w:rPr>
            <w:tab/>
          </w:r>
          <w:r>
            <w:rPr>
              <w:lang w:val="en-US" w:eastAsia="en-US"/>
            </w:rPr>
            <w:t>Authentication and key agreement procedure</w:t>
            <w:tab/>
          </w:r>
          <w:hyperlink w:anchor="__RefHeading___Toc153454912">
            <w:r>
              <w:rPr>
                <w:rStyle w:val="IndexLink"/>
                <w:lang w:val="en-US" w:eastAsia="en-US"/>
              </w:rPr>
              <w:t>10</w:t>
            </w:r>
          </w:hyperlink>
        </w:p>
        <w:p>
          <w:pPr>
            <w:pStyle w:val="TOC4"/>
            <w:rPr>
              <w:rFonts w:ascii="Calibri" w:hAnsi="Calibri" w:cs="Calibri"/>
              <w:sz w:val="22"/>
              <w:szCs w:val="22"/>
              <w:lang w:val="en-US" w:eastAsia="en-US"/>
            </w:rPr>
          </w:pPr>
          <w:r>
            <w:rPr>
              <w:lang w:val="en-US" w:eastAsia="en-US"/>
            </w:rPr>
            <w:t>4.2.2.1</w:t>
          </w:r>
          <w:r>
            <w:rPr>
              <w:rFonts w:cs="Calibri" w:ascii="Calibri" w:hAnsi="Calibri"/>
              <w:sz w:val="22"/>
              <w:szCs w:val="22"/>
              <w:lang w:val="en-US" w:eastAsia="en-US"/>
            </w:rPr>
            <w:tab/>
          </w:r>
          <w:r>
            <w:rPr>
              <w:lang w:val="en-US" w:eastAsia="en-US"/>
            </w:rPr>
            <w:t>Synchronization failure handling</w:t>
            <w:tab/>
          </w:r>
          <w:hyperlink w:anchor="__RefHeading___Toc153454913">
            <w:r>
              <w:rPr>
                <w:rStyle w:val="IndexLink"/>
                <w:lang w:val="en-US" w:eastAsia="en-US"/>
              </w:rPr>
              <w:t>10</w:t>
            </w:r>
          </w:hyperlink>
        </w:p>
        <w:p>
          <w:pPr>
            <w:pStyle w:val="TOC4"/>
            <w:rPr>
              <w:rFonts w:ascii="Calibri" w:hAnsi="Calibri" w:cs="Calibri"/>
              <w:sz w:val="22"/>
              <w:szCs w:val="22"/>
              <w:lang w:val="en-US" w:eastAsia="en-US"/>
            </w:rPr>
          </w:pPr>
          <w:r>
            <w:rPr>
              <w:lang w:val="en-US" w:eastAsia="en-US"/>
            </w:rPr>
            <w:t>4.2.2.2</w:t>
          </w:r>
          <w:r>
            <w:rPr>
              <w:rFonts w:cs="Calibri" w:ascii="Calibri" w:hAnsi="Calibri"/>
              <w:sz w:val="22"/>
              <w:szCs w:val="22"/>
              <w:lang w:val="en-US" w:eastAsia="en-US"/>
            </w:rPr>
            <w:tab/>
          </w:r>
          <w:r>
            <w:rPr>
              <w:lang w:val="en-US" w:eastAsia="en-US"/>
            </w:rPr>
            <w:t>Storing of authentication status of UE by UDM</w:t>
            <w:tab/>
          </w:r>
          <w:hyperlink w:anchor="__RefHeading___Toc153454914">
            <w:r>
              <w:rPr>
                <w:rStyle w:val="IndexLink"/>
                <w:lang w:val="en-US" w:eastAsia="en-US"/>
              </w:rPr>
              <w:t>11</w:t>
            </w:r>
          </w:hyperlink>
        </w:p>
        <w:p>
          <w:pPr>
            <w:pStyle w:val="TOC3"/>
            <w:rPr>
              <w:rFonts w:ascii="Calibri" w:hAnsi="Calibri" w:cs="Calibri"/>
              <w:sz w:val="22"/>
              <w:szCs w:val="22"/>
              <w:lang w:val="en-US" w:eastAsia="en-US"/>
            </w:rPr>
          </w:pPr>
          <w:r>
            <w:rPr>
              <w:lang w:val="en-US" w:eastAsia="en-US"/>
            </w:rPr>
            <w:t>4.2.3</w:t>
          </w:r>
          <w:r>
            <w:rPr>
              <w:rFonts w:cs="Calibri" w:ascii="Calibri" w:hAnsi="Calibri"/>
              <w:sz w:val="22"/>
              <w:szCs w:val="22"/>
              <w:lang w:val="en-US" w:eastAsia="en-US"/>
            </w:rPr>
            <w:tab/>
          </w:r>
          <w:r>
            <w:rPr>
              <w:lang w:val="en-US" w:eastAsia="en-US"/>
            </w:rPr>
            <w:t>Technical Baseline</w:t>
            <w:tab/>
          </w:r>
          <w:hyperlink w:anchor="__RefHeading___Toc153454915">
            <w:r>
              <w:rPr>
                <w:rStyle w:val="IndexLink"/>
                <w:lang w:val="en-US" w:eastAsia="en-US"/>
              </w:rPr>
              <w:t>12</w:t>
            </w:r>
          </w:hyperlink>
        </w:p>
        <w:p>
          <w:pPr>
            <w:pStyle w:val="TOC4"/>
            <w:rPr>
              <w:rFonts w:ascii="Calibri" w:hAnsi="Calibri" w:cs="Calibri"/>
              <w:sz w:val="22"/>
              <w:szCs w:val="22"/>
              <w:lang w:val="en-US" w:eastAsia="en-US"/>
            </w:rPr>
          </w:pPr>
          <w:r>
            <w:rPr>
              <w:lang w:val="en-US" w:eastAsia="en-US"/>
            </w:rPr>
            <w:t>4.2.3.1</w:t>
          </w:r>
          <w:r>
            <w:rPr>
              <w:rFonts w:cs="Calibri" w:ascii="Calibri" w:hAnsi="Calibri"/>
              <w:sz w:val="22"/>
              <w:szCs w:val="22"/>
              <w:lang w:val="en-US" w:eastAsia="en-US"/>
            </w:rPr>
            <w:tab/>
          </w:r>
          <w:r>
            <w:rPr>
              <w:lang w:val="en-US" w:eastAsia="en-US"/>
            </w:rPr>
            <w:t>Introduction</w:t>
            <w:tab/>
          </w:r>
          <w:hyperlink w:anchor="__RefHeading___Toc153454916">
            <w:r>
              <w:rPr>
                <w:rStyle w:val="IndexLink"/>
                <w:lang w:val="en-US" w:eastAsia="en-US"/>
              </w:rPr>
              <w:t>12</w:t>
            </w:r>
          </w:hyperlink>
        </w:p>
        <w:p>
          <w:pPr>
            <w:pStyle w:val="TOC4"/>
            <w:rPr>
              <w:rFonts w:ascii="Calibri" w:hAnsi="Calibri" w:cs="Calibri"/>
              <w:sz w:val="22"/>
              <w:szCs w:val="22"/>
              <w:lang w:val="en-US" w:eastAsia="en-US"/>
            </w:rPr>
          </w:pPr>
          <w:r>
            <w:rPr>
              <w:lang w:val="en-US" w:eastAsia="en-US"/>
            </w:rPr>
            <w:t>4.2.3.2</w:t>
          </w:r>
          <w:r>
            <w:rPr>
              <w:rFonts w:cs="Calibri" w:ascii="Calibri" w:hAnsi="Calibri"/>
              <w:sz w:val="22"/>
              <w:szCs w:val="22"/>
              <w:lang w:val="en-US" w:eastAsia="en-US"/>
            </w:rPr>
            <w:tab/>
          </w:r>
          <w:r>
            <w:rPr>
              <w:lang w:val="en-US" w:eastAsia="en-US"/>
            </w:rPr>
            <w:t>Protecting</w:t>
          </w:r>
          <w:r>
            <w:rPr>
              <w:spacing w:val="-12"/>
              <w:lang w:val="en-US" w:eastAsia="en-US"/>
            </w:rPr>
            <w:t xml:space="preserve"> </w:t>
          </w:r>
          <w:r>
            <w:rPr>
              <w:lang w:val="en-US" w:eastAsia="en-US"/>
            </w:rPr>
            <w:t>data</w:t>
          </w:r>
          <w:r>
            <w:rPr>
              <w:spacing w:val="-5"/>
              <w:lang w:val="en-US" w:eastAsia="en-US"/>
            </w:rPr>
            <w:t xml:space="preserve"> </w:t>
          </w:r>
          <w:r>
            <w:rPr>
              <w:lang w:val="en-US" w:eastAsia="en-US"/>
            </w:rPr>
            <w:t>and</w:t>
          </w:r>
          <w:r>
            <w:rPr>
              <w:spacing w:val="-4"/>
              <w:lang w:val="en-US" w:eastAsia="en-US"/>
            </w:rPr>
            <w:t xml:space="preserve"> </w:t>
          </w:r>
          <w:r>
            <w:rPr>
              <w:lang w:val="en-US" w:eastAsia="en-US"/>
            </w:rPr>
            <w:t>information</w:t>
            <w:tab/>
          </w:r>
          <w:hyperlink w:anchor="__RefHeading___Toc153454917">
            <w:r>
              <w:rPr>
                <w:rStyle w:val="IndexLink"/>
                <w:lang w:val="en-US" w:eastAsia="en-US"/>
              </w:rPr>
              <w:t>12</w:t>
            </w:r>
          </w:hyperlink>
        </w:p>
        <w:p>
          <w:pPr>
            <w:pStyle w:val="TOC5"/>
            <w:rPr>
              <w:rFonts w:ascii="Calibri" w:hAnsi="Calibri" w:cs="Calibri"/>
              <w:sz w:val="22"/>
              <w:szCs w:val="22"/>
              <w:lang w:val="en-US" w:eastAsia="en-US"/>
            </w:rPr>
          </w:pPr>
          <w:r>
            <w:rPr>
              <w:lang w:val="en-US" w:eastAsia="en-US"/>
            </w:rPr>
            <w:t>4.2.3.2.1</w:t>
          </w:r>
          <w:r>
            <w:rPr>
              <w:rFonts w:cs="Calibri" w:ascii="Calibri" w:hAnsi="Calibri"/>
              <w:sz w:val="22"/>
              <w:szCs w:val="22"/>
              <w:lang w:val="en-US" w:eastAsia="en-US"/>
            </w:rPr>
            <w:tab/>
          </w:r>
          <w:r>
            <w:rPr>
              <w:lang w:val="en-US" w:eastAsia="en-US"/>
            </w:rPr>
            <w:t>Protecting</w:t>
          </w:r>
          <w:r>
            <w:rPr>
              <w:spacing w:val="-12"/>
              <w:lang w:val="en-US" w:eastAsia="en-US"/>
            </w:rPr>
            <w:t xml:space="preserve"> </w:t>
          </w:r>
          <w:r>
            <w:rPr>
              <w:lang w:val="en-US" w:eastAsia="en-US"/>
            </w:rPr>
            <w:t>data</w:t>
          </w:r>
          <w:r>
            <w:rPr>
              <w:spacing w:val="-5"/>
              <w:lang w:val="en-US" w:eastAsia="en-US"/>
            </w:rPr>
            <w:t xml:space="preserve"> </w:t>
          </w:r>
          <w:r>
            <w:rPr>
              <w:lang w:val="en-US" w:eastAsia="en-US"/>
            </w:rPr>
            <w:t>and</w:t>
          </w:r>
          <w:r>
            <w:rPr>
              <w:spacing w:val="-4"/>
              <w:lang w:val="en-US" w:eastAsia="en-US"/>
            </w:rPr>
            <w:t xml:space="preserve"> </w:t>
          </w:r>
          <w:r>
            <w:rPr>
              <w:lang w:val="en-US" w:eastAsia="en-US"/>
            </w:rPr>
            <w:t>information – general</w:t>
            <w:tab/>
          </w:r>
          <w:hyperlink w:anchor="__RefHeading___Toc153454918">
            <w:r>
              <w:rPr>
                <w:rStyle w:val="IndexLink"/>
                <w:lang w:val="en-US" w:eastAsia="en-US"/>
              </w:rPr>
              <w:t>12</w:t>
            </w:r>
          </w:hyperlink>
        </w:p>
        <w:p>
          <w:pPr>
            <w:pStyle w:val="TOC5"/>
            <w:rPr>
              <w:rFonts w:ascii="Calibri" w:hAnsi="Calibri" w:cs="Calibri"/>
              <w:sz w:val="22"/>
              <w:szCs w:val="22"/>
              <w:lang w:val="en-US" w:eastAsia="en-US"/>
            </w:rPr>
          </w:pPr>
          <w:r>
            <w:rPr>
              <w:lang w:val="en-US" w:eastAsia="en-US"/>
            </w:rPr>
            <w:t>4.2.3.2.2</w:t>
          </w:r>
          <w:r>
            <w:rPr>
              <w:rFonts w:cs="Calibri" w:ascii="Calibri" w:hAnsi="Calibri"/>
              <w:sz w:val="22"/>
              <w:szCs w:val="22"/>
              <w:lang w:val="en-US" w:eastAsia="en-US"/>
            </w:rPr>
            <w:tab/>
          </w:r>
          <w:r>
            <w:rPr>
              <w:lang w:val="en-US" w:eastAsia="en-US"/>
            </w:rPr>
            <w:t>Protecting</w:t>
          </w:r>
          <w:r>
            <w:rPr>
              <w:spacing w:val="-12"/>
              <w:lang w:val="en-US" w:eastAsia="en-US"/>
            </w:rPr>
            <w:t xml:space="preserve"> </w:t>
          </w:r>
          <w:r>
            <w:rPr>
              <w:lang w:val="en-US" w:eastAsia="en-US"/>
            </w:rPr>
            <w:t>data</w:t>
          </w:r>
          <w:r>
            <w:rPr>
              <w:spacing w:val="-5"/>
              <w:lang w:val="en-US" w:eastAsia="en-US"/>
            </w:rPr>
            <w:t xml:space="preserve"> </w:t>
          </w:r>
          <w:r>
            <w:rPr>
              <w:lang w:val="en-US" w:eastAsia="en-US"/>
            </w:rPr>
            <w:t>and</w:t>
          </w:r>
          <w:r>
            <w:rPr>
              <w:spacing w:val="-4"/>
              <w:lang w:val="en-US" w:eastAsia="en-US"/>
            </w:rPr>
            <w:t xml:space="preserve"> </w:t>
          </w:r>
          <w:r>
            <w:rPr>
              <w:lang w:val="en-US" w:eastAsia="en-US"/>
            </w:rPr>
            <w:t>information – unauthorized viewing</w:t>
            <w:tab/>
          </w:r>
          <w:hyperlink w:anchor="__RefHeading___Toc153454919">
            <w:r>
              <w:rPr>
                <w:rStyle w:val="IndexLink"/>
                <w:lang w:val="en-US" w:eastAsia="en-US"/>
              </w:rPr>
              <w:t>12</w:t>
            </w:r>
          </w:hyperlink>
        </w:p>
        <w:p>
          <w:pPr>
            <w:pStyle w:val="TOC5"/>
            <w:rPr>
              <w:rFonts w:ascii="Calibri" w:hAnsi="Calibri" w:cs="Calibri"/>
              <w:sz w:val="22"/>
              <w:szCs w:val="22"/>
              <w:lang w:val="en-US" w:eastAsia="en-US"/>
            </w:rPr>
          </w:pPr>
          <w:r>
            <w:rPr>
              <w:lang w:val="en-US" w:eastAsia="en-US"/>
            </w:rPr>
            <w:t>4.2.3.2.3</w:t>
          </w:r>
          <w:r>
            <w:rPr>
              <w:rFonts w:cs="Calibri" w:ascii="Calibri" w:hAnsi="Calibri"/>
              <w:sz w:val="22"/>
              <w:szCs w:val="22"/>
              <w:lang w:val="en-US" w:eastAsia="en-US"/>
            </w:rPr>
            <w:tab/>
          </w:r>
          <w:r>
            <w:rPr>
              <w:lang w:val="en-US" w:eastAsia="en-US"/>
            </w:rPr>
            <w:t>Protecting</w:t>
          </w:r>
          <w:r>
            <w:rPr>
              <w:spacing w:val="-12"/>
              <w:lang w:val="en-US" w:eastAsia="en-US"/>
            </w:rPr>
            <w:t xml:space="preserve"> </w:t>
          </w:r>
          <w:r>
            <w:rPr>
              <w:lang w:val="en-US" w:eastAsia="en-US"/>
            </w:rPr>
            <w:t>data</w:t>
          </w:r>
          <w:r>
            <w:rPr>
              <w:spacing w:val="-5"/>
              <w:lang w:val="en-US" w:eastAsia="en-US"/>
            </w:rPr>
            <w:t xml:space="preserve"> </w:t>
          </w:r>
          <w:r>
            <w:rPr>
              <w:lang w:val="en-US" w:eastAsia="en-US"/>
            </w:rPr>
            <w:t>and</w:t>
          </w:r>
          <w:r>
            <w:rPr>
              <w:spacing w:val="-4"/>
              <w:lang w:val="en-US" w:eastAsia="en-US"/>
            </w:rPr>
            <w:t xml:space="preserve"> </w:t>
          </w:r>
          <w:r>
            <w:rPr>
              <w:lang w:val="en-US" w:eastAsia="en-US"/>
            </w:rPr>
            <w:t>information in storage</w:t>
            <w:tab/>
          </w:r>
          <w:hyperlink w:anchor="__RefHeading___Toc153454920">
            <w:r>
              <w:rPr>
                <w:rStyle w:val="IndexLink"/>
                <w:lang w:val="en-US" w:eastAsia="en-US"/>
              </w:rPr>
              <w:t>12</w:t>
            </w:r>
          </w:hyperlink>
        </w:p>
        <w:p>
          <w:pPr>
            <w:pStyle w:val="TOC5"/>
            <w:rPr>
              <w:rFonts w:ascii="Calibri" w:hAnsi="Calibri" w:cs="Calibri"/>
              <w:sz w:val="22"/>
              <w:szCs w:val="22"/>
              <w:lang w:val="en-US" w:eastAsia="en-US"/>
            </w:rPr>
          </w:pPr>
          <w:r>
            <w:rPr>
              <w:lang w:val="en-US" w:eastAsia="en-US"/>
            </w:rPr>
            <w:t>4.2.3.2.4</w:t>
          </w:r>
          <w:r>
            <w:rPr>
              <w:rFonts w:cs="Calibri" w:ascii="Calibri" w:hAnsi="Calibri"/>
              <w:sz w:val="22"/>
              <w:szCs w:val="22"/>
              <w:lang w:val="en-US" w:eastAsia="en-US"/>
            </w:rPr>
            <w:tab/>
          </w:r>
          <w:r>
            <w:rPr>
              <w:lang w:val="en-US" w:eastAsia="en-US"/>
            </w:rPr>
            <w:t>Protecting</w:t>
          </w:r>
          <w:r>
            <w:rPr>
              <w:spacing w:val="-12"/>
              <w:lang w:val="en-US" w:eastAsia="en-US"/>
            </w:rPr>
            <w:t xml:space="preserve"> </w:t>
          </w:r>
          <w:r>
            <w:rPr>
              <w:lang w:val="en-US" w:eastAsia="en-US"/>
            </w:rPr>
            <w:t>data</w:t>
          </w:r>
          <w:r>
            <w:rPr>
              <w:spacing w:val="-5"/>
              <w:lang w:val="en-US" w:eastAsia="en-US"/>
            </w:rPr>
            <w:t xml:space="preserve"> </w:t>
          </w:r>
          <w:r>
            <w:rPr>
              <w:lang w:val="en-US" w:eastAsia="en-US"/>
            </w:rPr>
            <w:t>and</w:t>
          </w:r>
          <w:r>
            <w:rPr>
              <w:spacing w:val="-4"/>
              <w:lang w:val="en-US" w:eastAsia="en-US"/>
            </w:rPr>
            <w:t xml:space="preserve"> </w:t>
          </w:r>
          <w:r>
            <w:rPr>
              <w:lang w:val="en-US" w:eastAsia="en-US"/>
            </w:rPr>
            <w:t>information in transfer</w:t>
            <w:tab/>
          </w:r>
          <w:hyperlink w:anchor="__RefHeading___Toc153454921">
            <w:r>
              <w:rPr>
                <w:rStyle w:val="IndexLink"/>
                <w:lang w:val="en-US" w:eastAsia="en-US"/>
              </w:rPr>
              <w:t>12</w:t>
            </w:r>
          </w:hyperlink>
        </w:p>
        <w:p>
          <w:pPr>
            <w:pStyle w:val="TOC5"/>
            <w:rPr>
              <w:rFonts w:ascii="Calibri" w:hAnsi="Calibri" w:cs="Calibri"/>
              <w:sz w:val="22"/>
              <w:szCs w:val="22"/>
              <w:lang w:val="en-US" w:eastAsia="en-US"/>
            </w:rPr>
          </w:pPr>
          <w:r>
            <w:rPr>
              <w:lang w:val="en-US" w:eastAsia="en-US"/>
            </w:rPr>
            <w:t>4.2.3.2.5</w:t>
          </w:r>
          <w:r>
            <w:rPr>
              <w:rFonts w:cs="Calibri" w:ascii="Calibri" w:hAnsi="Calibri"/>
              <w:sz w:val="22"/>
              <w:szCs w:val="22"/>
              <w:lang w:val="en-US" w:eastAsia="en-US"/>
            </w:rPr>
            <w:tab/>
          </w:r>
          <w:r>
            <w:rPr>
              <w:lang w:val="en-US" w:eastAsia="en-US"/>
            </w:rPr>
            <w:t>Logging access to personal data</w:t>
            <w:tab/>
          </w:r>
          <w:hyperlink w:anchor="__RefHeading___Toc153454922">
            <w:r>
              <w:rPr>
                <w:rStyle w:val="IndexLink"/>
                <w:lang w:val="en-US" w:eastAsia="en-US"/>
              </w:rPr>
              <w:t>12</w:t>
            </w:r>
          </w:hyperlink>
        </w:p>
        <w:p>
          <w:pPr>
            <w:pStyle w:val="TOC4"/>
            <w:rPr>
              <w:rFonts w:ascii="Calibri" w:hAnsi="Calibri" w:cs="Calibri"/>
              <w:sz w:val="22"/>
              <w:szCs w:val="22"/>
              <w:lang w:val="en-US" w:eastAsia="en-US"/>
            </w:rPr>
          </w:pPr>
          <w:r>
            <w:rPr>
              <w:lang w:val="en-US" w:eastAsia="en-US"/>
            </w:rPr>
            <w:t>4.2.3.3</w:t>
          </w:r>
          <w:r>
            <w:rPr>
              <w:rFonts w:cs="Calibri" w:ascii="Calibri" w:hAnsi="Calibri"/>
              <w:sz w:val="22"/>
              <w:szCs w:val="22"/>
              <w:lang w:val="en-US" w:eastAsia="en-US"/>
            </w:rPr>
            <w:tab/>
          </w:r>
          <w:r>
            <w:rPr>
              <w:lang w:val="en-US" w:eastAsia="en-US"/>
            </w:rPr>
            <w:t>Protecting</w:t>
          </w:r>
          <w:r>
            <w:rPr>
              <w:spacing w:val="-12"/>
              <w:lang w:val="en-US" w:eastAsia="en-US"/>
            </w:rPr>
            <w:t xml:space="preserve"> </w:t>
          </w:r>
          <w:r>
            <w:rPr>
              <w:lang w:val="en-US" w:eastAsia="en-US"/>
            </w:rPr>
            <w:t>availability</w:t>
          </w:r>
          <w:r>
            <w:rPr>
              <w:spacing w:val="-12"/>
              <w:lang w:val="en-US" w:eastAsia="en-US"/>
            </w:rPr>
            <w:t xml:space="preserve"> </w:t>
          </w:r>
          <w:r>
            <w:rPr>
              <w:lang w:val="en-US" w:eastAsia="en-US"/>
            </w:rPr>
            <w:t>and</w:t>
          </w:r>
          <w:r>
            <w:rPr>
              <w:spacing w:val="-4"/>
              <w:lang w:val="en-US" w:eastAsia="en-US"/>
            </w:rPr>
            <w:t xml:space="preserve"> </w:t>
          </w:r>
          <w:r>
            <w:rPr>
              <w:lang w:val="en-US" w:eastAsia="en-US"/>
            </w:rPr>
            <w:t>integrity</w:t>
            <w:tab/>
          </w:r>
          <w:hyperlink w:anchor="__RefHeading___Toc153454923">
            <w:r>
              <w:rPr>
                <w:rStyle w:val="IndexLink"/>
                <w:lang w:val="en-US" w:eastAsia="en-US"/>
              </w:rPr>
              <w:t>12</w:t>
            </w:r>
          </w:hyperlink>
        </w:p>
        <w:p>
          <w:pPr>
            <w:pStyle w:val="TOC4"/>
            <w:rPr>
              <w:rFonts w:ascii="Calibri" w:hAnsi="Calibri" w:cs="Calibri"/>
              <w:sz w:val="22"/>
              <w:szCs w:val="22"/>
              <w:lang w:val="en-US" w:eastAsia="en-US"/>
            </w:rPr>
          </w:pPr>
          <w:r>
            <w:rPr>
              <w:lang w:val="en-US" w:eastAsia="en-US"/>
            </w:rPr>
            <w:t>4.2.3.4</w:t>
          </w:r>
          <w:r>
            <w:rPr>
              <w:rFonts w:cs="Calibri" w:ascii="Calibri" w:hAnsi="Calibri"/>
              <w:sz w:val="22"/>
              <w:szCs w:val="22"/>
              <w:lang w:val="en-US" w:eastAsia="en-US"/>
            </w:rPr>
            <w:tab/>
          </w:r>
          <w:r>
            <w:rPr>
              <w:lang w:val="en-US" w:eastAsia="en-US"/>
            </w:rPr>
            <w:t>Authentication</w:t>
          </w:r>
          <w:r>
            <w:rPr>
              <w:spacing w:val="-17"/>
              <w:lang w:val="en-US" w:eastAsia="en-US"/>
            </w:rPr>
            <w:t xml:space="preserve"> </w:t>
          </w:r>
          <w:r>
            <w:rPr>
              <w:lang w:val="en-US" w:eastAsia="en-US"/>
            </w:rPr>
            <w:t>and</w:t>
          </w:r>
          <w:r>
            <w:rPr>
              <w:spacing w:val="-4"/>
              <w:lang w:val="en-US" w:eastAsia="en-US"/>
            </w:rPr>
            <w:t xml:space="preserve"> </w:t>
          </w:r>
          <w:r>
            <w:rPr>
              <w:lang w:val="en-US" w:eastAsia="en-US"/>
            </w:rPr>
            <w:t>authorization</w:t>
            <w:tab/>
          </w:r>
          <w:hyperlink w:anchor="__RefHeading___Toc153454924">
            <w:r>
              <w:rPr>
                <w:rStyle w:val="IndexLink"/>
                <w:lang w:val="en-US" w:eastAsia="en-US"/>
              </w:rPr>
              <w:t>12</w:t>
            </w:r>
          </w:hyperlink>
        </w:p>
        <w:p>
          <w:pPr>
            <w:pStyle w:val="TOC4"/>
            <w:rPr>
              <w:rFonts w:ascii="Calibri" w:hAnsi="Calibri" w:cs="Calibri"/>
              <w:sz w:val="22"/>
              <w:szCs w:val="22"/>
              <w:lang w:val="en-US" w:eastAsia="en-US"/>
            </w:rPr>
          </w:pPr>
          <w:r>
            <w:rPr>
              <w:lang w:val="en-US" w:eastAsia="en-US"/>
            </w:rPr>
            <w:t>4.2.3.5</w:t>
          </w:r>
          <w:r>
            <w:rPr>
              <w:rFonts w:cs="Calibri" w:ascii="Calibri" w:hAnsi="Calibri"/>
              <w:sz w:val="22"/>
              <w:szCs w:val="22"/>
              <w:lang w:val="en-US" w:eastAsia="en-US"/>
            </w:rPr>
            <w:tab/>
          </w:r>
          <w:r>
            <w:rPr>
              <w:lang w:val="en-US" w:eastAsia="en-US"/>
            </w:rPr>
            <w:t>Protecting</w:t>
          </w:r>
          <w:r>
            <w:rPr>
              <w:spacing w:val="-12"/>
              <w:lang w:val="en-US" w:eastAsia="en-US"/>
            </w:rPr>
            <w:t xml:space="preserve"> </w:t>
          </w:r>
          <w:r>
            <w:rPr>
              <w:lang w:val="en-US" w:eastAsia="en-US"/>
            </w:rPr>
            <w:t>sessions</w:t>
            <w:tab/>
          </w:r>
          <w:hyperlink w:anchor="__RefHeading___Toc153454925">
            <w:r>
              <w:rPr>
                <w:rStyle w:val="IndexLink"/>
                <w:lang w:val="en-US" w:eastAsia="en-US"/>
              </w:rPr>
              <w:t>12</w:t>
            </w:r>
          </w:hyperlink>
        </w:p>
        <w:p>
          <w:pPr>
            <w:pStyle w:val="TOC4"/>
            <w:rPr>
              <w:rFonts w:ascii="Calibri" w:hAnsi="Calibri" w:cs="Calibri"/>
              <w:sz w:val="22"/>
              <w:szCs w:val="22"/>
              <w:lang w:val="en-US" w:eastAsia="en-US"/>
            </w:rPr>
          </w:pPr>
          <w:r>
            <w:rPr>
              <w:lang w:val="en-US" w:eastAsia="en-US"/>
            </w:rPr>
            <w:t>4.2.3.6</w:t>
          </w:r>
          <w:r>
            <w:rPr>
              <w:rFonts w:cs="Calibri" w:ascii="Calibri" w:hAnsi="Calibri"/>
              <w:sz w:val="22"/>
              <w:szCs w:val="22"/>
              <w:lang w:val="en-US" w:eastAsia="en-US"/>
            </w:rPr>
            <w:tab/>
          </w:r>
          <w:r>
            <w:rPr>
              <w:lang w:val="en-US" w:eastAsia="en-US"/>
            </w:rPr>
            <w:t>Logging</w:t>
            <w:tab/>
          </w:r>
          <w:hyperlink w:anchor="__RefHeading___Toc153454926">
            <w:r>
              <w:rPr>
                <w:rStyle w:val="IndexLink"/>
                <w:lang w:val="en-US" w:eastAsia="en-US"/>
              </w:rPr>
              <w:t>12</w:t>
            </w:r>
          </w:hyperlink>
        </w:p>
        <w:p>
          <w:pPr>
            <w:pStyle w:val="TOC3"/>
            <w:rPr>
              <w:rFonts w:ascii="Calibri" w:hAnsi="Calibri" w:cs="Calibri"/>
              <w:sz w:val="22"/>
              <w:szCs w:val="22"/>
              <w:lang w:val="en-US" w:eastAsia="en-US"/>
            </w:rPr>
          </w:pPr>
          <w:r>
            <w:rPr>
              <w:lang w:val="en-US" w:eastAsia="en-US"/>
            </w:rPr>
            <w:t>4.2.4</w:t>
          </w:r>
          <w:r>
            <w:rPr>
              <w:rFonts w:cs="Calibri" w:ascii="Calibri" w:hAnsi="Calibri"/>
              <w:sz w:val="22"/>
              <w:szCs w:val="22"/>
              <w:lang w:val="en-US" w:eastAsia="en-US"/>
            </w:rPr>
            <w:tab/>
          </w:r>
          <w:r>
            <w:rPr>
              <w:lang w:val="en-US" w:eastAsia="en-US"/>
            </w:rPr>
            <w:t>Operating Systems</w:t>
            <w:tab/>
          </w:r>
          <w:hyperlink w:anchor="__RefHeading___Toc153454927">
            <w:r>
              <w:rPr>
                <w:rStyle w:val="IndexLink"/>
                <w:lang w:val="en-US" w:eastAsia="en-US"/>
              </w:rPr>
              <w:t>12</w:t>
            </w:r>
          </w:hyperlink>
        </w:p>
        <w:p>
          <w:pPr>
            <w:pStyle w:val="TOC3"/>
            <w:rPr>
              <w:rFonts w:ascii="Calibri" w:hAnsi="Calibri" w:cs="Calibri"/>
              <w:sz w:val="22"/>
              <w:szCs w:val="22"/>
              <w:lang w:val="en-US" w:eastAsia="en-US"/>
            </w:rPr>
          </w:pPr>
          <w:r>
            <w:rPr>
              <w:lang w:val="en-US" w:eastAsia="en-US"/>
            </w:rPr>
            <w:t>4.2.5</w:t>
          </w:r>
          <w:r>
            <w:rPr>
              <w:rFonts w:cs="Calibri" w:ascii="Calibri" w:hAnsi="Calibri"/>
              <w:sz w:val="22"/>
              <w:szCs w:val="22"/>
              <w:lang w:val="en-US" w:eastAsia="en-US"/>
            </w:rPr>
            <w:tab/>
          </w:r>
          <w:r>
            <w:rPr>
              <w:lang w:val="en-US" w:eastAsia="en-US"/>
            </w:rPr>
            <w:t>Web Servers</w:t>
            <w:tab/>
          </w:r>
          <w:hyperlink w:anchor="__RefHeading___Toc153454928">
            <w:r>
              <w:rPr>
                <w:rStyle w:val="IndexLink"/>
                <w:lang w:val="en-US" w:eastAsia="en-US"/>
              </w:rPr>
              <w:t>12</w:t>
            </w:r>
          </w:hyperlink>
        </w:p>
        <w:p>
          <w:pPr>
            <w:pStyle w:val="TOC3"/>
            <w:rPr>
              <w:rFonts w:ascii="Calibri" w:hAnsi="Calibri" w:cs="Calibri"/>
              <w:sz w:val="22"/>
              <w:szCs w:val="22"/>
              <w:lang w:val="en-US" w:eastAsia="en-US"/>
            </w:rPr>
          </w:pPr>
          <w:r>
            <w:rPr>
              <w:lang w:val="en-US" w:eastAsia="en-US"/>
            </w:rPr>
            <w:t>4.2.6</w:t>
          </w:r>
          <w:r>
            <w:rPr>
              <w:rFonts w:cs="Calibri" w:ascii="Calibri" w:hAnsi="Calibri"/>
              <w:sz w:val="22"/>
              <w:szCs w:val="22"/>
              <w:lang w:val="en-US" w:eastAsia="en-US"/>
            </w:rPr>
            <w:tab/>
          </w:r>
          <w:r>
            <w:rPr>
              <w:lang w:val="en-US" w:eastAsia="en-US"/>
            </w:rPr>
            <w:t>Network Devices</w:t>
            <w:tab/>
          </w:r>
          <w:hyperlink w:anchor="__RefHeading___Toc153454929">
            <w:r>
              <w:rPr>
                <w:rStyle w:val="IndexLink"/>
                <w:lang w:val="en-US" w:eastAsia="en-US"/>
              </w:rPr>
              <w:t>13</w:t>
            </w:r>
          </w:hyperlink>
        </w:p>
        <w:p>
          <w:pPr>
            <w:pStyle w:val="TOC3"/>
            <w:rPr>
              <w:rFonts w:ascii="Calibri" w:hAnsi="Calibri" w:cs="Calibri"/>
              <w:sz w:val="22"/>
              <w:szCs w:val="22"/>
              <w:lang w:val="en-US" w:eastAsia="en-US"/>
            </w:rPr>
          </w:pPr>
          <w:r>
            <w:rPr>
              <w:lang w:val="en-US" w:eastAsia="en-US"/>
            </w:rPr>
            <w:t>4.2.7</w:t>
          </w:r>
          <w:r>
            <w:rPr>
              <w:rFonts w:cs="Calibri" w:ascii="Calibri" w:hAnsi="Calibri"/>
              <w:sz w:val="22"/>
              <w:szCs w:val="22"/>
              <w:lang w:val="en-US" w:eastAsia="en-US"/>
            </w:rPr>
            <w:tab/>
          </w:r>
          <w:r>
            <w:rPr>
              <w:lang w:val="en-US" w:eastAsia="en-US"/>
            </w:rPr>
            <w:t>User plane security procedures</w:t>
            <w:tab/>
          </w:r>
          <w:hyperlink w:anchor="__RefHeading___Toc153454930">
            <w:r>
              <w:rPr>
                <w:rStyle w:val="IndexLink"/>
                <w:lang w:val="en-US" w:eastAsia="en-US"/>
              </w:rPr>
              <w:t>13</w:t>
            </w:r>
          </w:hyperlink>
        </w:p>
        <w:p>
          <w:pPr>
            <w:pStyle w:val="TOC4"/>
            <w:rPr>
              <w:rFonts w:ascii="Calibri" w:hAnsi="Calibri" w:cs="Calibri"/>
              <w:sz w:val="22"/>
              <w:szCs w:val="22"/>
              <w:lang w:val="en-US" w:eastAsia="en-US"/>
            </w:rPr>
          </w:pPr>
          <w:r>
            <w:rPr>
              <w:lang w:val="en-US" w:eastAsia="en-US"/>
            </w:rPr>
            <w:t>4.2.7.1 UP</w:t>
          </w:r>
          <w:r>
            <w:rPr>
              <w:rFonts w:cs="Calibri" w:ascii="Calibri" w:hAnsi="Calibri"/>
              <w:sz w:val="22"/>
              <w:szCs w:val="22"/>
              <w:lang w:val="en-US" w:eastAsia="en-US"/>
            </w:rPr>
            <w:tab/>
          </w:r>
          <w:r>
            <w:rPr>
              <w:lang w:val="en-US" w:eastAsia="en-US"/>
            </w:rPr>
            <w:t>Security enforcement configuration for TSC service</w:t>
            <w:tab/>
          </w:r>
          <w:hyperlink w:anchor="__RefHeading___Toc153454931">
            <w:r>
              <w:rPr>
                <w:rStyle w:val="IndexLink"/>
                <w:lang w:val="en-US" w:eastAsia="en-US"/>
              </w:rPr>
              <w:t>13</w:t>
            </w:r>
          </w:hyperlink>
        </w:p>
        <w:p>
          <w:pPr>
            <w:pStyle w:val="TOC3"/>
            <w:rPr>
              <w:rFonts w:ascii="Calibri" w:hAnsi="Calibri" w:cs="Calibri"/>
              <w:sz w:val="22"/>
              <w:szCs w:val="22"/>
              <w:lang w:val="en-US" w:eastAsia="en-US"/>
            </w:rPr>
          </w:pPr>
          <w:r>
            <w:rPr>
              <w:lang w:val="en-US" w:eastAsia="en-US"/>
            </w:rPr>
            <w:t>4.2.8</w:t>
          </w:r>
          <w:r>
            <w:rPr>
              <w:rFonts w:cs="Calibri" w:ascii="Calibri" w:hAnsi="Calibri"/>
              <w:sz w:val="22"/>
              <w:szCs w:val="22"/>
              <w:lang w:val="en-US" w:eastAsia="en-US"/>
            </w:rPr>
            <w:tab/>
          </w:r>
          <w:r>
            <w:rPr>
              <w:lang w:val="en-US" w:eastAsia="en-US"/>
            </w:rPr>
            <w:t>User plane security procedures</w:t>
            <w:tab/>
          </w:r>
          <w:hyperlink w:anchor="__RefHeading___Toc153454932">
            <w:r>
              <w:rPr>
                <w:rStyle w:val="IndexLink"/>
                <w:lang w:val="en-US" w:eastAsia="en-US"/>
              </w:rPr>
              <w:t>14</w:t>
            </w:r>
          </w:hyperlink>
        </w:p>
        <w:p>
          <w:pPr>
            <w:pStyle w:val="TOC4"/>
            <w:rPr>
              <w:rFonts w:ascii="Calibri" w:hAnsi="Calibri" w:cs="Calibri"/>
              <w:sz w:val="22"/>
              <w:szCs w:val="22"/>
              <w:lang w:val="en-US" w:eastAsia="en-US"/>
            </w:rPr>
          </w:pPr>
          <w:r>
            <w:rPr>
              <w:lang w:val="en-US" w:eastAsia="en-US"/>
            </w:rPr>
            <w:t>4.2.8.1</w:t>
          </w:r>
          <w:r>
            <w:rPr>
              <w:rFonts w:cs="Calibri" w:ascii="Calibri" w:hAnsi="Calibri"/>
              <w:sz w:val="22"/>
              <w:szCs w:val="22"/>
              <w:lang w:val="en-US" w:eastAsia="en-US"/>
            </w:rPr>
            <w:tab/>
          </w:r>
          <w:r>
            <w:rPr>
              <w:lang w:val="en-US" w:eastAsia="en-US"/>
            </w:rPr>
            <w:t>UP security policy configuration for 5G LAN service</w:t>
            <w:tab/>
          </w:r>
          <w:hyperlink w:anchor="__RefHeading___Toc153454933">
            <w:r>
              <w:rPr>
                <w:rStyle w:val="IndexLink"/>
                <w:lang w:val="en-US" w:eastAsia="en-US"/>
              </w:rPr>
              <w:t>14</w:t>
            </w:r>
          </w:hyperlink>
        </w:p>
        <w:p>
          <w:pPr>
            <w:pStyle w:val="TOC2"/>
            <w:rPr>
              <w:rFonts w:ascii="Calibri" w:hAnsi="Calibri" w:cs="Calibri"/>
              <w:sz w:val="22"/>
              <w:szCs w:val="22"/>
              <w:lang w:val="en-US" w:eastAsia="en-US"/>
            </w:rPr>
          </w:pPr>
          <w:r>
            <w:rPr>
              <w:lang w:val="en-US" w:eastAsia="en-US"/>
            </w:rPr>
            <w:t>4.3</w:t>
          </w:r>
          <w:r>
            <w:rPr>
              <w:rFonts w:cs="Calibri" w:ascii="Calibri" w:hAnsi="Calibri"/>
              <w:sz w:val="22"/>
              <w:szCs w:val="22"/>
              <w:lang w:val="en-US" w:eastAsia="en-US"/>
            </w:rPr>
            <w:tab/>
          </w:r>
          <w:r>
            <w:rPr>
              <w:lang w:val="en-US" w:eastAsia="en-US"/>
            </w:rPr>
            <w:t>UDM-specific adaptations of hardening requirements and related test cases</w:t>
            <w:tab/>
          </w:r>
          <w:hyperlink w:anchor="__RefHeading___Toc153454934">
            <w:r>
              <w:rPr>
                <w:rStyle w:val="IndexLink"/>
                <w:lang w:val="en-US" w:eastAsia="en-US"/>
              </w:rPr>
              <w:t>15</w:t>
            </w:r>
          </w:hyperlink>
        </w:p>
        <w:p>
          <w:pPr>
            <w:pStyle w:val="TOC3"/>
            <w:rPr>
              <w:rFonts w:ascii="Calibri" w:hAnsi="Calibri" w:cs="Calibri"/>
              <w:sz w:val="22"/>
              <w:szCs w:val="22"/>
              <w:lang w:val="en-US" w:eastAsia="en-US"/>
            </w:rPr>
          </w:pPr>
          <w:r>
            <w:rPr>
              <w:lang w:val="en-US" w:eastAsia="en-US"/>
            </w:rPr>
            <w:t>4.3.1</w:t>
          </w:r>
          <w:r>
            <w:rPr>
              <w:rFonts w:cs="Calibri" w:ascii="Calibri" w:hAnsi="Calibri"/>
              <w:sz w:val="22"/>
              <w:szCs w:val="22"/>
              <w:lang w:val="en-US" w:eastAsia="en-US"/>
            </w:rPr>
            <w:tab/>
          </w:r>
          <w:r>
            <w:rPr>
              <w:lang w:val="en-US" w:eastAsia="en-US"/>
            </w:rPr>
            <w:t>Introduction</w:t>
            <w:tab/>
          </w:r>
          <w:hyperlink w:anchor="__RefHeading___Toc153454935">
            <w:r>
              <w:rPr>
                <w:rStyle w:val="IndexLink"/>
                <w:lang w:val="en-US" w:eastAsia="en-US"/>
              </w:rPr>
              <w:t>15</w:t>
            </w:r>
          </w:hyperlink>
        </w:p>
        <w:p>
          <w:pPr>
            <w:pStyle w:val="TOC3"/>
            <w:rPr>
              <w:rFonts w:ascii="Calibri" w:hAnsi="Calibri" w:cs="Calibri"/>
              <w:sz w:val="22"/>
              <w:szCs w:val="22"/>
              <w:lang w:val="en-US" w:eastAsia="en-US"/>
            </w:rPr>
          </w:pPr>
          <w:r>
            <w:rPr>
              <w:lang w:val="en-US" w:eastAsia="en-US"/>
            </w:rPr>
            <w:t>4.3.2</w:t>
          </w:r>
          <w:r>
            <w:rPr>
              <w:rFonts w:cs="Calibri" w:ascii="Calibri" w:hAnsi="Calibri"/>
              <w:sz w:val="22"/>
              <w:szCs w:val="22"/>
              <w:lang w:val="en-US" w:eastAsia="en-US"/>
            </w:rPr>
            <w:tab/>
          </w:r>
          <w:r>
            <w:rPr>
              <w:lang w:val="en-US" w:eastAsia="en-US"/>
            </w:rPr>
            <w:t>Technical baseline</w:t>
            <w:tab/>
          </w:r>
          <w:hyperlink w:anchor="__RefHeading___Toc153454936">
            <w:r>
              <w:rPr>
                <w:rStyle w:val="IndexLink"/>
                <w:lang w:val="en-US" w:eastAsia="en-US"/>
              </w:rPr>
              <w:t>15</w:t>
            </w:r>
          </w:hyperlink>
        </w:p>
        <w:p>
          <w:pPr>
            <w:pStyle w:val="TOC3"/>
            <w:rPr>
              <w:rFonts w:ascii="Calibri" w:hAnsi="Calibri" w:cs="Calibri"/>
              <w:sz w:val="22"/>
              <w:szCs w:val="22"/>
              <w:lang w:val="en-US" w:eastAsia="en-US"/>
            </w:rPr>
          </w:pPr>
          <w:r>
            <w:rPr>
              <w:lang w:val="en-US" w:eastAsia="en-US"/>
            </w:rPr>
            <w:t>4.3.3</w:t>
          </w:r>
          <w:r>
            <w:rPr>
              <w:rFonts w:cs="Calibri" w:ascii="Calibri" w:hAnsi="Calibri"/>
              <w:sz w:val="22"/>
              <w:szCs w:val="22"/>
              <w:lang w:val="en-US" w:eastAsia="en-US"/>
            </w:rPr>
            <w:tab/>
          </w:r>
          <w:r>
            <w:rPr>
              <w:lang w:val="en-US" w:eastAsia="en-US"/>
            </w:rPr>
            <w:t>Operating systems</w:t>
            <w:tab/>
          </w:r>
          <w:hyperlink w:anchor="__RefHeading___Toc153454937">
            <w:r>
              <w:rPr>
                <w:rStyle w:val="IndexLink"/>
                <w:lang w:val="en-US" w:eastAsia="en-US"/>
              </w:rPr>
              <w:t>15</w:t>
            </w:r>
          </w:hyperlink>
        </w:p>
        <w:p>
          <w:pPr>
            <w:pStyle w:val="TOC3"/>
            <w:rPr>
              <w:rFonts w:ascii="Calibri" w:hAnsi="Calibri" w:cs="Calibri"/>
              <w:sz w:val="22"/>
              <w:szCs w:val="22"/>
              <w:lang w:val="en-US" w:eastAsia="en-US"/>
            </w:rPr>
          </w:pPr>
          <w:r>
            <w:rPr>
              <w:lang w:val="en-US" w:eastAsia="en-US"/>
            </w:rPr>
            <w:t>4.3.4</w:t>
          </w:r>
          <w:r>
            <w:rPr>
              <w:rFonts w:cs="Calibri" w:ascii="Calibri" w:hAnsi="Calibri"/>
              <w:sz w:val="22"/>
              <w:szCs w:val="22"/>
              <w:lang w:val="en-US" w:eastAsia="en-US"/>
            </w:rPr>
            <w:tab/>
          </w:r>
          <w:r>
            <w:rPr>
              <w:lang w:val="en-US" w:eastAsia="en-US"/>
            </w:rPr>
            <w:t>Web servers</w:t>
            <w:tab/>
          </w:r>
          <w:hyperlink w:anchor="__RefHeading___Toc153454938">
            <w:r>
              <w:rPr>
                <w:rStyle w:val="IndexLink"/>
                <w:lang w:val="en-US" w:eastAsia="en-US"/>
              </w:rPr>
              <w:t>15</w:t>
            </w:r>
          </w:hyperlink>
        </w:p>
        <w:p>
          <w:pPr>
            <w:pStyle w:val="TOC3"/>
            <w:rPr>
              <w:rFonts w:ascii="Calibri" w:hAnsi="Calibri" w:cs="Calibri"/>
              <w:sz w:val="22"/>
              <w:szCs w:val="22"/>
              <w:lang w:val="en-US" w:eastAsia="en-US"/>
            </w:rPr>
          </w:pPr>
          <w:r>
            <w:rPr>
              <w:lang w:val="en-US" w:eastAsia="en-US"/>
            </w:rPr>
            <w:t>4.3.5</w:t>
          </w:r>
          <w:r>
            <w:rPr>
              <w:rFonts w:cs="Calibri" w:ascii="Calibri" w:hAnsi="Calibri"/>
              <w:sz w:val="22"/>
              <w:szCs w:val="22"/>
              <w:lang w:val="en-US" w:eastAsia="en-US"/>
            </w:rPr>
            <w:tab/>
          </w:r>
          <w:r>
            <w:rPr>
              <w:lang w:val="en-US" w:eastAsia="en-US"/>
            </w:rPr>
            <w:t>Network devices</w:t>
            <w:tab/>
          </w:r>
          <w:hyperlink w:anchor="__RefHeading___Toc153454939">
            <w:r>
              <w:rPr>
                <w:rStyle w:val="IndexLink"/>
                <w:lang w:val="en-US" w:eastAsia="en-US"/>
              </w:rPr>
              <w:t>15</w:t>
            </w:r>
          </w:hyperlink>
        </w:p>
        <w:p>
          <w:pPr>
            <w:pStyle w:val="TOC3"/>
            <w:rPr>
              <w:rFonts w:ascii="Calibri" w:hAnsi="Calibri" w:cs="Calibri"/>
              <w:sz w:val="22"/>
              <w:szCs w:val="22"/>
              <w:lang w:val="en-US" w:eastAsia="en-US"/>
            </w:rPr>
          </w:pPr>
          <w:r>
            <w:rPr>
              <w:rFonts w:eastAsia="SimSun;宋体"/>
              <w:lang w:val="en-US" w:eastAsia="en-US"/>
            </w:rPr>
            <w:t>4.3.6</w:t>
          </w:r>
          <w:r>
            <w:rPr>
              <w:rFonts w:cs="Calibri" w:ascii="Calibri" w:hAnsi="Calibri"/>
              <w:sz w:val="22"/>
              <w:szCs w:val="22"/>
              <w:lang w:val="en-US" w:eastAsia="en-US"/>
            </w:rPr>
            <w:tab/>
          </w:r>
          <w:r>
            <w:rPr>
              <w:rFonts w:eastAsia="SimSun;宋体"/>
              <w:lang w:val="en-US" w:eastAsia="en-US"/>
            </w:rPr>
            <w:t>Network functions in service-based architecture</w:t>
          </w:r>
          <w:r>
            <w:rPr>
              <w:lang w:val="en-US" w:eastAsia="en-US"/>
            </w:rPr>
            <w:tab/>
          </w:r>
          <w:hyperlink w:anchor="__RefHeading___Toc153454940">
            <w:r>
              <w:rPr>
                <w:rStyle w:val="IndexLink"/>
                <w:lang w:val="en-US" w:eastAsia="en-US"/>
              </w:rPr>
              <w:t>15</w:t>
            </w:r>
          </w:hyperlink>
        </w:p>
        <w:p>
          <w:pPr>
            <w:pStyle w:val="TOC2"/>
            <w:rPr>
              <w:rFonts w:ascii="Calibri" w:hAnsi="Calibri" w:cs="Calibri"/>
              <w:sz w:val="22"/>
              <w:szCs w:val="22"/>
              <w:lang w:val="en-US" w:eastAsia="en-US"/>
            </w:rPr>
          </w:pPr>
          <w:r>
            <w:rPr>
              <w:lang w:val="en-US" w:eastAsia="en-US"/>
            </w:rPr>
            <w:t>4.4</w:t>
          </w:r>
          <w:r>
            <w:rPr>
              <w:rFonts w:cs="Calibri" w:ascii="Calibri" w:hAnsi="Calibri"/>
              <w:sz w:val="22"/>
              <w:szCs w:val="22"/>
              <w:lang w:val="en-US" w:eastAsia="en-US"/>
            </w:rPr>
            <w:tab/>
          </w:r>
          <w:r>
            <w:rPr>
              <w:lang w:val="en-US" w:eastAsia="en-US"/>
            </w:rPr>
            <w:t>UDM-specific adaptations of basic vulnerability testing requirements and related test cases</w:t>
            <w:tab/>
          </w:r>
          <w:hyperlink w:anchor="__RefHeading___Toc153454941">
            <w:r>
              <w:rPr>
                <w:rStyle w:val="IndexLink"/>
                <w:lang w:val="en-US" w:eastAsia="en-US"/>
              </w:rPr>
              <w:t>15</w:t>
            </w:r>
          </w:hyperlink>
        </w:p>
        <w:p>
          <w:pPr>
            <w:pStyle w:val="TOC3"/>
            <w:rPr>
              <w:rFonts w:ascii="Calibri" w:hAnsi="Calibri" w:cs="Calibri"/>
              <w:sz w:val="22"/>
              <w:szCs w:val="22"/>
              <w:lang w:val="en-US" w:eastAsia="en-US"/>
            </w:rPr>
          </w:pPr>
          <w:r>
            <w:rPr>
              <w:rFonts w:eastAsia="MS Mincho;ＭＳ 明朝"/>
              <w:lang w:val="en-US" w:eastAsia="en-US"/>
            </w:rPr>
            <w:t>4.4.1</w:t>
          </w:r>
          <w:r>
            <w:rPr>
              <w:rFonts w:cs="Calibri" w:ascii="Calibri" w:hAnsi="Calibri"/>
              <w:sz w:val="22"/>
              <w:szCs w:val="22"/>
              <w:lang w:val="en-US" w:eastAsia="en-US"/>
            </w:rPr>
            <w:tab/>
          </w:r>
          <w:r>
            <w:rPr>
              <w:rFonts w:eastAsia="MS Mincho;ＭＳ 明朝"/>
              <w:lang w:val="en-US" w:eastAsia="en-US"/>
            </w:rPr>
            <w:t>Introduction</w:t>
          </w:r>
          <w:r>
            <w:rPr>
              <w:lang w:val="en-US" w:eastAsia="en-US"/>
            </w:rPr>
            <w:tab/>
          </w:r>
          <w:hyperlink w:anchor="__RefHeading___Toc153454942">
            <w:r>
              <w:rPr>
                <w:rStyle w:val="IndexLink"/>
                <w:lang w:val="en-US" w:eastAsia="en-US"/>
              </w:rPr>
              <w:t>15</w:t>
            </w:r>
          </w:hyperlink>
        </w:p>
        <w:p>
          <w:pPr>
            <w:pStyle w:val="TOC3"/>
            <w:rPr>
              <w:rFonts w:ascii="Calibri" w:hAnsi="Calibri" w:cs="Calibri"/>
              <w:sz w:val="22"/>
              <w:szCs w:val="22"/>
              <w:lang w:val="en-US" w:eastAsia="en-US"/>
            </w:rPr>
          </w:pPr>
          <w:r>
            <w:rPr>
              <w:rFonts w:eastAsia="MS Mincho;ＭＳ 明朝"/>
              <w:lang w:val="en-US" w:eastAsia="en-US"/>
            </w:rPr>
            <w:t>4.4.2</w:t>
          </w:r>
          <w:r>
            <w:rPr>
              <w:rFonts w:cs="Calibri" w:ascii="Calibri" w:hAnsi="Calibri"/>
              <w:sz w:val="22"/>
              <w:szCs w:val="22"/>
              <w:lang w:val="en-US" w:eastAsia="en-US"/>
            </w:rPr>
            <w:tab/>
          </w:r>
          <w:r>
            <w:rPr>
              <w:rFonts w:eastAsia="MS Mincho;ＭＳ 明朝"/>
              <w:lang w:val="en-US" w:eastAsia="en-US"/>
            </w:rPr>
            <w:t>Port scanning</w:t>
          </w:r>
          <w:r>
            <w:rPr>
              <w:lang w:val="en-US" w:eastAsia="en-US"/>
            </w:rPr>
            <w:tab/>
          </w:r>
          <w:hyperlink w:anchor="__RefHeading___Toc153454943">
            <w:r>
              <w:rPr>
                <w:rStyle w:val="IndexLink"/>
                <w:lang w:val="en-US" w:eastAsia="en-US"/>
              </w:rPr>
              <w:t>15</w:t>
            </w:r>
          </w:hyperlink>
        </w:p>
        <w:p>
          <w:pPr>
            <w:pStyle w:val="TOC3"/>
            <w:rPr>
              <w:rFonts w:ascii="Calibri" w:hAnsi="Calibri" w:cs="Calibri"/>
              <w:sz w:val="22"/>
              <w:szCs w:val="22"/>
              <w:lang w:val="en-US" w:eastAsia="en-US"/>
            </w:rPr>
          </w:pPr>
          <w:r>
            <w:rPr>
              <w:rFonts w:eastAsia="MS Mincho;ＭＳ 明朝"/>
              <w:lang w:val="en-US" w:eastAsia="en-US"/>
            </w:rPr>
            <w:t>4.4.3</w:t>
          </w:r>
          <w:r>
            <w:rPr>
              <w:rFonts w:cs="Calibri" w:ascii="Calibri" w:hAnsi="Calibri"/>
              <w:sz w:val="22"/>
              <w:szCs w:val="22"/>
              <w:lang w:val="en-US" w:eastAsia="en-US"/>
            </w:rPr>
            <w:tab/>
          </w:r>
          <w:r>
            <w:rPr>
              <w:rFonts w:eastAsia="MS Mincho;ＭＳ 明朝"/>
              <w:lang w:val="en-US" w:eastAsia="en-US"/>
            </w:rPr>
            <w:t>Vulnerability scanning</w:t>
          </w:r>
          <w:r>
            <w:rPr>
              <w:lang w:val="en-US" w:eastAsia="en-US"/>
            </w:rPr>
            <w:tab/>
          </w:r>
          <w:hyperlink w:anchor="__RefHeading___Toc153454944">
            <w:r>
              <w:rPr>
                <w:rStyle w:val="IndexLink"/>
                <w:lang w:val="en-US" w:eastAsia="en-US"/>
              </w:rPr>
              <w:t>16</w:t>
            </w:r>
          </w:hyperlink>
        </w:p>
        <w:p>
          <w:pPr>
            <w:pStyle w:val="TOC3"/>
            <w:rPr>
              <w:rFonts w:ascii="Calibri" w:hAnsi="Calibri" w:cs="Calibri"/>
              <w:sz w:val="22"/>
              <w:szCs w:val="22"/>
              <w:lang w:val="en-US" w:eastAsia="en-US"/>
            </w:rPr>
          </w:pPr>
          <w:r>
            <w:rPr>
              <w:rFonts w:eastAsia="MS Mincho;ＭＳ 明朝"/>
              <w:lang w:val="en-US" w:eastAsia="en-US"/>
            </w:rPr>
            <w:t>4.4.4</w:t>
          </w:r>
          <w:r>
            <w:rPr>
              <w:rFonts w:cs="Calibri" w:ascii="Calibri" w:hAnsi="Calibri"/>
              <w:sz w:val="22"/>
              <w:szCs w:val="22"/>
              <w:lang w:val="en-US" w:eastAsia="en-US"/>
            </w:rPr>
            <w:tab/>
          </w:r>
          <w:r>
            <w:rPr>
              <w:rFonts w:eastAsia="MS Mincho;ＭＳ 明朝"/>
              <w:lang w:val="en-US" w:eastAsia="en-US"/>
            </w:rPr>
            <w:t>Robustness and fuzz testing</w:t>
          </w:r>
          <w:r>
            <w:rPr>
              <w:lang w:val="en-US" w:eastAsia="en-US"/>
            </w:rPr>
            <w:tab/>
          </w:r>
          <w:hyperlink w:anchor="__RefHeading___Toc153454945">
            <w:r>
              <w:rPr>
                <w:rStyle w:val="IndexLink"/>
                <w:lang w:val="en-US" w:eastAsia="en-US"/>
              </w:rPr>
              <w:t>16</w:t>
            </w:r>
          </w:hyperlink>
        </w:p>
        <w:p>
          <w:pPr>
            <w:pStyle w:val="TOC8"/>
            <w:rPr>
              <w:rFonts w:ascii="Calibri" w:hAnsi="Calibri" w:cs="Calibri"/>
              <w:szCs w:val="22"/>
              <w:lang w:val="en-US" w:eastAsia="en-US"/>
            </w:rPr>
          </w:pPr>
          <w:r>
            <w:rPr>
              <w:b w:val="false"/>
              <w:lang w:val="en-US" w:eastAsia="en-US"/>
            </w:rPr>
            <w:t>Annex A (informative):</w:t>
            <w:tab/>
            <w:t>Change history</w:t>
            <w:tab/>
          </w:r>
          <w:hyperlink w:anchor="__RefHeading___Toc153454946">
            <w:r>
              <w:rPr>
                <w:rStyle w:val="IndexLink"/>
                <w:b w:val="false"/>
                <w:lang w:val="en-US" w:eastAsia="en-US"/>
              </w:rPr>
              <w:t>17</w:t>
            </w:r>
          </w:hyperlink>
          <w:r>
            <w:rPr>
              <w:rStyle w:val="IndexLink"/>
              <w:b w:val="false"/>
              <w:lang w:val="en-US" w:eastAsia="en-US"/>
            </w:rPr>
            <w:fldChar w:fldCharType="end"/>
          </w:r>
        </w:p>
      </w:sdtContent>
    </w:sdt>
    <w:p>
      <w:pPr>
        <w:pStyle w:val="Normal"/>
        <w:rPr>
          <w:rFonts w:ascii="Calibri" w:hAnsi="Calibri" w:cs="Calibri"/>
          <w:b/>
          <w:sz w:val="22"/>
          <w:szCs w:val="22"/>
          <w:lang w:val="en-US" w:eastAsia="en-US"/>
        </w:rPr>
      </w:pPr>
      <w:r>
        <w:rPr>
          <w:rFonts w:cs="Calibri" w:ascii="Calibri" w:hAnsi="Calibri"/>
          <w:b/>
          <w:sz w:val="22"/>
          <w:szCs w:val="22"/>
          <w:lang w:val="en-US" w:eastAsia="en-US"/>
        </w:rPr>
      </w:r>
      <w:r>
        <w:br w:type="page"/>
      </w:r>
    </w:p>
    <w:p>
      <w:pPr>
        <w:pStyle w:val="Heading1"/>
        <w:rPr/>
      </w:pPr>
      <w:bookmarkStart w:id="12" w:name="__RefHeading___Toc153454897"/>
      <w:bookmarkEnd w:id="12"/>
      <w:r>
        <w:rPr/>
        <w:t>Foreword</w:t>
      </w:r>
    </w:p>
    <w:p>
      <w:pPr>
        <w:pStyle w:val="Normal"/>
        <w:rPr/>
      </w:pPr>
      <w:r>
        <w:rPr/>
        <w:t>This Technical Specification has been produced by the 3rd Generation Partnership Project (3GPP).</w:t>
      </w:r>
    </w:p>
    <w:p>
      <w:pPr>
        <w:pStyle w:val="Normal"/>
        <w:rPr/>
      </w:pPr>
      <w:r>
        <w:rPr/>
        <w:t>The contents of the present document are subject to continuing work within the TSG and may change following formal TSG approval. Should the TSG modify the contents of the present document, it will be re-released by the TSG with an identifying change of release date and an increase in version number as follows:</w:t>
      </w:r>
    </w:p>
    <w:p>
      <w:pPr>
        <w:pStyle w:val="B1"/>
        <w:rPr/>
      </w:pPr>
      <w:r>
        <w:rPr/>
        <w:t>Version x.y.z</w:t>
      </w:r>
    </w:p>
    <w:p>
      <w:pPr>
        <w:pStyle w:val="B1"/>
        <w:rPr/>
      </w:pPr>
      <w:r>
        <w:rPr/>
        <w:t>where:</w:t>
      </w:r>
    </w:p>
    <w:p>
      <w:pPr>
        <w:pStyle w:val="B2"/>
        <w:rPr/>
      </w:pPr>
      <w:r>
        <w:rPr/>
        <w:t>x</w:t>
        <w:tab/>
        <w:t>the first digit:</w:t>
      </w:r>
    </w:p>
    <w:p>
      <w:pPr>
        <w:pStyle w:val="B3"/>
        <w:rPr/>
      </w:pPr>
      <w:r>
        <w:rPr/>
        <w:t>1</w:t>
        <w:tab/>
        <w:t>presented to TSG for information;</w:t>
      </w:r>
    </w:p>
    <w:p>
      <w:pPr>
        <w:pStyle w:val="B3"/>
        <w:rPr/>
      </w:pPr>
      <w:r>
        <w:rPr/>
        <w:t>2</w:t>
        <w:tab/>
        <w:t>presented to TSG for approval;</w:t>
      </w:r>
    </w:p>
    <w:p>
      <w:pPr>
        <w:pStyle w:val="B3"/>
        <w:rPr/>
      </w:pPr>
      <w:r>
        <w:rPr/>
        <w:t>3</w:t>
        <w:tab/>
        <w:t>or greater indicates TSG approved document under change control.</w:t>
      </w:r>
    </w:p>
    <w:p>
      <w:pPr>
        <w:pStyle w:val="B2"/>
        <w:rPr/>
      </w:pPr>
      <w:r>
        <w:rPr/>
        <w:t>y</w:t>
        <w:tab/>
        <w:t>the second digit is incremented for all changes of substance, i.e. technical enhancements, corrections, updates, etc.</w:t>
      </w:r>
    </w:p>
    <w:p>
      <w:pPr>
        <w:pStyle w:val="B2"/>
        <w:rPr/>
      </w:pPr>
      <w:r>
        <w:rPr/>
        <w:t>z</w:t>
        <w:tab/>
        <w:t>the third digit is incremented when editorial only changes have been incorporated in the document.</w:t>
      </w:r>
    </w:p>
    <w:p>
      <w:pPr>
        <w:pStyle w:val="Normal"/>
        <w:rPr/>
      </w:pPr>
      <w:r>
        <w:rPr/>
        <w:t>In the present document, modal verbs have the following meanings:</w:t>
      </w:r>
    </w:p>
    <w:p>
      <w:pPr>
        <w:pStyle w:val="EX"/>
        <w:rPr/>
      </w:pPr>
      <w:r>
        <w:rPr>
          <w:b/>
        </w:rPr>
        <w:t>shall</w:t>
      </w:r>
      <w:r>
        <w:rPr/>
        <w:tab/>
        <w:tab/>
        <w:t>indicates a mandatory requirement to do something</w:t>
      </w:r>
    </w:p>
    <w:p>
      <w:pPr>
        <w:pStyle w:val="EX"/>
        <w:rPr/>
      </w:pPr>
      <w:r>
        <w:rPr>
          <w:b/>
        </w:rPr>
        <w:t>shall not</w:t>
      </w:r>
      <w:r>
        <w:rPr/>
        <w:tab/>
        <w:t>indicates an interdiction (prohibition) to do something</w:t>
      </w:r>
    </w:p>
    <w:p>
      <w:pPr>
        <w:pStyle w:val="Normal"/>
        <w:rPr/>
      </w:pPr>
      <w:r>
        <w:rPr/>
        <w:t>The constructions "shall" and "shall not" are confined to the context of normative provisions, and do not appear in Technical Reports.</w:t>
      </w:r>
    </w:p>
    <w:p>
      <w:pPr>
        <w:pStyle w:val="Normal"/>
        <w:rPr/>
      </w:pPr>
      <w:r>
        <w:rPr/>
        <w:t>The constructions "must" and "must not" are not used as substitutes for "shall" and "shall not". Their use is avoided insofar as possible, and they are not used in a normative context except in a direct citation from an external, referenced, non-3GPP document, or so as to maintain continuity of style when extending or modifying the provisions of such a referenced document.</w:t>
      </w:r>
    </w:p>
    <w:p>
      <w:pPr>
        <w:pStyle w:val="EX"/>
        <w:rPr/>
      </w:pPr>
      <w:r>
        <w:rPr>
          <w:b/>
        </w:rPr>
        <w:t>should</w:t>
      </w:r>
      <w:r>
        <w:rPr/>
        <w:tab/>
        <w:tab/>
        <w:t>indicates a recommendation to do something</w:t>
      </w:r>
    </w:p>
    <w:p>
      <w:pPr>
        <w:pStyle w:val="EX"/>
        <w:rPr/>
      </w:pPr>
      <w:r>
        <w:rPr>
          <w:b/>
        </w:rPr>
        <w:t>should not</w:t>
      </w:r>
      <w:r>
        <w:rPr/>
        <w:tab/>
        <w:t>indicates a recommendation not to do something</w:t>
      </w:r>
    </w:p>
    <w:p>
      <w:pPr>
        <w:pStyle w:val="EX"/>
        <w:rPr/>
      </w:pPr>
      <w:r>
        <w:rPr>
          <w:b/>
        </w:rPr>
        <w:t>may</w:t>
      </w:r>
      <w:r>
        <w:rPr/>
        <w:tab/>
        <w:tab/>
        <w:t>indicates permission to do something</w:t>
      </w:r>
    </w:p>
    <w:p>
      <w:pPr>
        <w:pStyle w:val="EX"/>
        <w:rPr/>
      </w:pPr>
      <w:r>
        <w:rPr>
          <w:b/>
        </w:rPr>
        <w:t>need not</w:t>
      </w:r>
      <w:r>
        <w:rPr/>
        <w:tab/>
        <w:t>indicates permission not to do something</w:t>
      </w:r>
    </w:p>
    <w:p>
      <w:pPr>
        <w:pStyle w:val="Normal"/>
        <w:rPr/>
      </w:pPr>
      <w:r>
        <w:rPr/>
        <w:t>The construction "may not" is ambiguous and is not used in normative elements. The unambiguous constructions "might not" or "shall not" are used instead, depending upon the meaning intended.</w:t>
      </w:r>
    </w:p>
    <w:p>
      <w:pPr>
        <w:pStyle w:val="EX"/>
        <w:rPr/>
      </w:pPr>
      <w:r>
        <w:rPr>
          <w:b/>
        </w:rPr>
        <w:t>can</w:t>
      </w:r>
      <w:r>
        <w:rPr/>
        <w:tab/>
        <w:tab/>
        <w:t>indicates that something is possible</w:t>
      </w:r>
    </w:p>
    <w:p>
      <w:pPr>
        <w:pStyle w:val="EX"/>
        <w:rPr/>
      </w:pPr>
      <w:r>
        <w:rPr>
          <w:b/>
        </w:rPr>
        <w:t>cannot</w:t>
      </w:r>
      <w:r>
        <w:rPr/>
        <w:tab/>
        <w:tab/>
        <w:t>indicates that something is impossible</w:t>
      </w:r>
    </w:p>
    <w:p>
      <w:pPr>
        <w:pStyle w:val="Normal"/>
        <w:rPr/>
      </w:pPr>
      <w:r>
        <w:rPr/>
        <w:t>The constructions "can" and "cannot" are not substitutes for "may" and "need not".</w:t>
      </w:r>
    </w:p>
    <w:p>
      <w:pPr>
        <w:pStyle w:val="EX"/>
        <w:rPr/>
      </w:pPr>
      <w:r>
        <w:rPr>
          <w:b/>
        </w:rPr>
        <w:t>will</w:t>
      </w:r>
      <w:r>
        <w:rPr/>
        <w:tab/>
        <w:tab/>
        <w:t>indicates that something is certain or expected to happen as a result of action taken by an agency the behaviour of which is outside the scope of the present document</w:t>
      </w:r>
    </w:p>
    <w:p>
      <w:pPr>
        <w:pStyle w:val="EX"/>
        <w:rPr/>
      </w:pPr>
      <w:r>
        <w:rPr>
          <w:b/>
        </w:rPr>
        <w:t>will not</w:t>
      </w:r>
      <w:r>
        <w:rPr/>
        <w:tab/>
        <w:tab/>
        <w:t>indicates that something is certain or expected not to happen as a result of action taken by an agency the behaviour of which is outside the scope of the present document</w:t>
      </w:r>
    </w:p>
    <w:p>
      <w:pPr>
        <w:pStyle w:val="EX"/>
        <w:rPr/>
      </w:pPr>
      <w:r>
        <w:rPr>
          <w:b/>
        </w:rPr>
        <w:t>might</w:t>
      </w:r>
      <w:r>
        <w:rPr/>
        <w:tab/>
        <w:t>indicates a likelihood that something will happen as a result of action taken by some agency the behaviour of which is outside the scope of the present document</w:t>
      </w:r>
    </w:p>
    <w:p>
      <w:pPr>
        <w:pStyle w:val="EX"/>
        <w:rPr/>
      </w:pPr>
      <w:r>
        <w:rPr>
          <w:b/>
        </w:rPr>
        <w:t>might not</w:t>
      </w:r>
      <w:r>
        <w:rPr/>
        <w:tab/>
        <w:t>indicates a likelihood that something will not happen as a result of action taken by some agency the behaviour of which is outside the scope of the present document</w:t>
      </w:r>
    </w:p>
    <w:p>
      <w:pPr>
        <w:pStyle w:val="Normal"/>
        <w:rPr/>
      </w:pPr>
      <w:r>
        <w:rPr/>
        <w:t>In addition:</w:t>
      </w:r>
    </w:p>
    <w:p>
      <w:pPr>
        <w:pStyle w:val="EX"/>
        <w:rPr/>
      </w:pPr>
      <w:r>
        <w:rPr>
          <w:b/>
        </w:rPr>
        <w:t>is</w:t>
      </w:r>
      <w:r>
        <w:rPr/>
        <w:tab/>
        <w:t>(or any other verb in the indicative mood) indicates a statement of fact</w:t>
      </w:r>
    </w:p>
    <w:p>
      <w:pPr>
        <w:pStyle w:val="EX"/>
        <w:rPr/>
      </w:pPr>
      <w:r>
        <w:rPr>
          <w:b/>
        </w:rPr>
        <w:t>is not</w:t>
      </w:r>
      <w:r>
        <w:rPr/>
        <w:tab/>
        <w:t>(or any other negative verb in the indicative mood) indicates a statement of fact</w:t>
      </w:r>
    </w:p>
    <w:p>
      <w:pPr>
        <w:pStyle w:val="Normal"/>
        <w:rPr/>
      </w:pPr>
      <w:r>
        <w:rPr/>
        <w:t>The constructions "is" and "is not" do not indicate requirements.</w:t>
      </w:r>
      <w:r>
        <w:br w:type="page"/>
      </w:r>
    </w:p>
    <w:p>
      <w:pPr>
        <w:pStyle w:val="Heading1"/>
        <w:rPr/>
      </w:pPr>
      <w:bookmarkStart w:id="13" w:name="__RefHeading___Toc153454898"/>
      <w:bookmarkEnd w:id="13"/>
      <w:r>
        <w:rPr/>
        <w:t>1</w:t>
        <w:tab/>
        <w:t>Scope</w:t>
      </w:r>
    </w:p>
    <w:p>
      <w:pPr>
        <w:pStyle w:val="Normal"/>
        <w:rPr/>
      </w:pPr>
      <w:r>
        <w:rPr/>
        <w:t>The present document contains requirements and test cases that are specific to the UDM network product class. It refers to the Catalogue of General Security Assurance Requirements and formulates specific adaptions of the requirements and test cases. It also specifies the requirements and test cases unique to the UDM network product class.</w:t>
      </w:r>
    </w:p>
    <w:p>
      <w:pPr>
        <w:pStyle w:val="Heading1"/>
        <w:rPr/>
      </w:pPr>
      <w:bookmarkStart w:id="14" w:name="__RefHeading___Toc153454899"/>
      <w:bookmarkEnd w:id="14"/>
      <w:r>
        <w:rPr/>
        <w:t>2</w:t>
        <w:tab/>
        <w:t>References</w:t>
      </w:r>
    </w:p>
    <w:p>
      <w:pPr>
        <w:pStyle w:val="Normal"/>
        <w:rPr/>
      </w:pPr>
      <w:r>
        <w:rPr/>
        <w:t>The following documents contain provisions which, through reference in this text, constitute provisions of the present document.</w:t>
      </w:r>
    </w:p>
    <w:p>
      <w:pPr>
        <w:pStyle w:val="B1"/>
        <w:rPr/>
      </w:pPr>
      <w:bookmarkStart w:id="15" w:name="OLE_LINK4"/>
      <w:bookmarkStart w:id="16" w:name="OLE_LINK3"/>
      <w:bookmarkStart w:id="17" w:name="OLE_LINK2"/>
      <w:bookmarkStart w:id="18" w:name="OLE_LINK1"/>
      <w:bookmarkEnd w:id="15"/>
      <w:bookmarkEnd w:id="16"/>
      <w:bookmarkEnd w:id="17"/>
      <w:bookmarkEnd w:id="18"/>
      <w:r>
        <w:rPr/>
        <w:t>-</w:t>
        <w:tab/>
        <w:t>References are either specific (identified by date of publication, edition number, version number, etc.) or non</w:t>
        <w:noBreakHyphen/>
        <w:t>specific.</w:t>
      </w:r>
    </w:p>
    <w:p>
      <w:pPr>
        <w:pStyle w:val="B1"/>
        <w:rPr/>
      </w:pPr>
      <w:r>
        <w:rPr/>
        <w:t>-</w:t>
        <w:tab/>
        <w:t>For a specific reference, subsequent revisions do not apply.</w:t>
      </w:r>
    </w:p>
    <w:p>
      <w:pPr>
        <w:pStyle w:val="B1"/>
        <w:rPr/>
      </w:pPr>
      <w:r>
        <w:rPr/>
        <w:t>-</w:t>
        <w:tab/>
        <w:t>For a non-specific reference, the latest version applies. In the case of a reference to a 3GPP document (including a GSM document), a non-specific reference implicitly refers to the latest version of that document</w:t>
      </w:r>
      <w:r>
        <w:rPr>
          <w:i/>
        </w:rPr>
        <w:t xml:space="preserve"> in the same Release as the present document</w:t>
      </w:r>
      <w:r>
        <w:rPr/>
        <w:t>.</w:t>
      </w:r>
    </w:p>
    <w:p>
      <w:pPr>
        <w:pStyle w:val="EX"/>
        <w:rPr/>
      </w:pPr>
      <w:bookmarkStart w:id="19" w:name="OLE_LINK4"/>
      <w:bookmarkStart w:id="20" w:name="OLE_LINK3"/>
      <w:bookmarkStart w:id="21" w:name="OLE_LINK2"/>
      <w:bookmarkStart w:id="22" w:name="OLE_LINK1"/>
      <w:bookmarkEnd w:id="19"/>
      <w:bookmarkEnd w:id="20"/>
      <w:bookmarkEnd w:id="21"/>
      <w:bookmarkEnd w:id="22"/>
      <w:r>
        <w:rPr/>
        <w:t>[1]</w:t>
        <w:tab/>
        <w:t>3GPP TR 21.905: "Vocabulary for 3GPP Specifications".</w:t>
      </w:r>
    </w:p>
    <w:p>
      <w:pPr>
        <w:pStyle w:val="EX"/>
        <w:rPr/>
      </w:pPr>
      <w:r>
        <w:rPr/>
        <w:t>[2]</w:t>
        <w:tab/>
        <w:t>3GPP TS 33.501: "Security architecture and procedures for 5G system".</w:t>
      </w:r>
    </w:p>
    <w:p>
      <w:pPr>
        <w:pStyle w:val="EX"/>
        <w:rPr/>
      </w:pPr>
      <w:r>
        <w:rPr/>
        <w:t>[3]</w:t>
        <w:tab/>
        <w:t>3GPP TS 33.117: "Catalogue of general security assurance requirements".</w:t>
      </w:r>
    </w:p>
    <w:p>
      <w:pPr>
        <w:pStyle w:val="EX"/>
        <w:rPr/>
      </w:pPr>
      <w:r>
        <w:rPr/>
        <w:t>[4]</w:t>
        <w:tab/>
        <w:t>3GPP TR 33.926 "Security Assurance Specification (SCAS) threats and critical assets in 3GPP network product classes".</w:t>
      </w:r>
    </w:p>
    <w:p>
      <w:pPr>
        <w:pStyle w:val="EX"/>
        <w:rPr/>
      </w:pPr>
      <w:r>
        <w:rPr/>
        <w:t>[5]</w:t>
        <w:tab/>
        <w:t>3GPP TS 23.501: "System Architecture for the 5G System (5GS)".</w:t>
      </w:r>
    </w:p>
    <w:p>
      <w:pPr>
        <w:pStyle w:val="EX"/>
        <w:rPr/>
      </w:pPr>
      <w:r>
        <w:rPr/>
        <w:t>[6]</w:t>
        <w:tab/>
        <w:t>3GPP TS 23.003: "Numbering, addressing and identification".</w:t>
      </w:r>
    </w:p>
    <w:p>
      <w:pPr>
        <w:pStyle w:val="EX"/>
        <w:rPr/>
      </w:pPr>
      <w:r>
        <w:rPr/>
        <w:t>[7]</w:t>
        <w:tab/>
        <w:t>3GPP TS 33.102: "3G security; Security architecture".</w:t>
      </w:r>
    </w:p>
    <w:p>
      <w:pPr>
        <w:pStyle w:val="EX"/>
        <w:rPr/>
      </w:pPr>
      <w:r>
        <w:rPr/>
        <w:t>[8]</w:t>
        <w:tab/>
        <w:t>SECG SEC 1: Recommended Elliptic Curve Cryptography, Version 2.0, 2009. Available http://www.secg.org/sec1-v2.pdf</w:t>
      </w:r>
    </w:p>
    <w:p>
      <w:pPr>
        <w:pStyle w:val="EX"/>
        <w:rPr/>
      </w:pPr>
      <w:r>
        <w:rPr/>
        <w:t>[9]</w:t>
        <w:tab/>
        <w:t>3GPP TS 29.503: "Unified Data Management Services".</w:t>
      </w:r>
    </w:p>
    <w:p>
      <w:pPr>
        <w:pStyle w:val="EX"/>
        <w:rPr/>
      </w:pPr>
      <w:r>
        <w:rPr/>
        <w:t>[10]</w:t>
        <w:tab/>
        <w:t>3GPP TR 33.916: "</w:t>
      </w:r>
      <w:r>
        <w:rPr>
          <w:lang w:eastAsia="zh-CN"/>
        </w:rPr>
        <w:t>Security Assurance Methodology (SECAM) for 3GPP network products</w:t>
      </w:r>
      <w:r>
        <w:rPr/>
        <w:t>".</w:t>
      </w:r>
    </w:p>
    <w:p>
      <w:pPr>
        <w:pStyle w:val="Heading1"/>
        <w:rPr/>
      </w:pPr>
      <w:bookmarkStart w:id="23" w:name="__RefHeading___Toc153454900"/>
      <w:bookmarkEnd w:id="23"/>
      <w:r>
        <w:rPr/>
        <w:t>3</w:t>
        <w:tab/>
        <w:t>Definitions of terms, symbols and abbreviations</w:t>
      </w:r>
    </w:p>
    <w:p>
      <w:pPr>
        <w:pStyle w:val="Heading2"/>
        <w:ind w:hanging="1134" w:left="1134"/>
        <w:rPr/>
      </w:pPr>
      <w:bookmarkStart w:id="24" w:name="__RefHeading___Toc153454901"/>
      <w:bookmarkEnd w:id="24"/>
      <w:r>
        <w:rPr/>
        <w:t>3.1</w:t>
        <w:tab/>
        <w:t>Terms</w:t>
      </w:r>
    </w:p>
    <w:p>
      <w:pPr>
        <w:pStyle w:val="Normal"/>
        <w:rPr/>
      </w:pPr>
      <w:r>
        <w:rPr/>
        <w:t xml:space="preserve">For the purposes of the present document, the terms given in </w:t>
      </w:r>
      <w:bookmarkStart w:id="25" w:name="OLE_LINK8"/>
      <w:bookmarkStart w:id="26" w:name="OLE_LINK7"/>
      <w:bookmarkStart w:id="27" w:name="OLE_LINK6"/>
      <w:r>
        <w:rPr/>
        <w:t xml:space="preserve">3GPP </w:t>
      </w:r>
      <w:bookmarkEnd w:id="25"/>
      <w:bookmarkEnd w:id="26"/>
      <w:bookmarkEnd w:id="27"/>
      <w:r>
        <w:rPr/>
        <w:t>TR 21.905 [1] and the following apply. A term defined in the present document takes precedence over the definition of the same term, if any, in 3GPP TR 21.905 [1].</w:t>
      </w:r>
    </w:p>
    <w:p>
      <w:pPr>
        <w:pStyle w:val="Normal"/>
        <w:rPr/>
      </w:pPr>
      <w:r>
        <w:rPr>
          <w:b/>
        </w:rPr>
        <w:t xml:space="preserve">Subscription Identifier: </w:t>
      </w:r>
      <w:r>
        <w:rPr/>
        <w:t>Defined in TS 33.501 [2] and in TS 23.003 [6].</w:t>
      </w:r>
    </w:p>
    <w:p>
      <w:pPr>
        <w:pStyle w:val="Normal"/>
        <w:rPr/>
      </w:pPr>
      <w:r>
        <w:rPr>
          <w:b/>
        </w:rPr>
        <w:t>Subscription Concealed Identifier:</w:t>
      </w:r>
      <w:r>
        <w:rPr/>
        <w:t xml:space="preserve"> Defined in TS 33.501 [2].</w:t>
      </w:r>
    </w:p>
    <w:p>
      <w:pPr>
        <w:pStyle w:val="Normal"/>
        <w:rPr/>
      </w:pPr>
      <w:r>
        <w:rPr>
          <w:b/>
        </w:rPr>
        <w:t xml:space="preserve">Subscription Identifier De-concealing Function: </w:t>
      </w:r>
      <w:r>
        <w:rPr/>
        <w:t>Defined in TS 33.501 [2].</w:t>
      </w:r>
    </w:p>
    <w:p>
      <w:pPr>
        <w:pStyle w:val="Normal"/>
        <w:rPr/>
      </w:pPr>
      <w:r>
        <w:rPr>
          <w:b/>
        </w:rPr>
        <w:t xml:space="preserve">Network Function: </w:t>
      </w:r>
      <w:r>
        <w:rPr>
          <w:bCs/>
        </w:rPr>
        <w:t>As defined in TS 23.501 [5].</w:t>
      </w:r>
    </w:p>
    <w:p>
      <w:pPr>
        <w:pStyle w:val="Normal"/>
        <w:rPr/>
      </w:pPr>
      <w:r>
        <w:rPr>
          <w:b/>
        </w:rPr>
        <w:t xml:space="preserve">Network Product: </w:t>
      </w:r>
      <w:r>
        <w:rPr>
          <w:bCs/>
        </w:rPr>
        <w:t>As defined in TR 33.916 [</w:t>
      </w:r>
      <w:r>
        <w:rPr/>
        <w:t>10</w:t>
      </w:r>
      <w:r>
        <w:rPr>
          <w:bCs/>
        </w:rPr>
        <w:t>].</w:t>
      </w:r>
    </w:p>
    <w:p>
      <w:pPr>
        <w:pStyle w:val="Normal"/>
        <w:rPr/>
      </w:pPr>
      <w:r>
        <w:rPr>
          <w:b/>
        </w:rPr>
        <w:t>Network Product Class:</w:t>
      </w:r>
      <w:r>
        <w:rPr>
          <w:bCs/>
        </w:rPr>
        <w:t xml:space="preserve"> As defined in TR 33.916 [</w:t>
      </w:r>
      <w:r>
        <w:rPr/>
        <w:t>10</w:t>
      </w:r>
      <w:r>
        <w:rPr>
          <w:bCs/>
        </w:rPr>
        <w:t>].</w:t>
      </w:r>
    </w:p>
    <w:p>
      <w:pPr>
        <w:pStyle w:val="Normal"/>
        <w:rPr>
          <w:bCs/>
        </w:rPr>
      </w:pPr>
      <w:r>
        <w:rPr>
          <w:b/>
        </w:rPr>
        <w:t>Pcap file:</w:t>
      </w:r>
      <w:r>
        <w:rPr>
          <w:bCs/>
        </w:rPr>
        <w:t xml:space="preserve"> A file format used to store network packet data captured from a network interface.</w:t>
      </w:r>
    </w:p>
    <w:p>
      <w:pPr>
        <w:pStyle w:val="Normal"/>
        <w:rPr>
          <w:b/>
        </w:rPr>
      </w:pPr>
      <w:r>
        <w:rPr>
          <w:b/>
          <w:bCs/>
          <w:lang w:eastAsia="ja-JP"/>
        </w:rPr>
        <w:t>Screenshot:</w:t>
      </w:r>
      <w:r>
        <w:rPr>
          <w:lang w:eastAsia="ja-JP"/>
        </w:rPr>
        <w:t xml:space="preserve"> A digital image that shows the contents of a display.</w:t>
      </w:r>
    </w:p>
    <w:p>
      <w:pPr>
        <w:pStyle w:val="Normal"/>
        <w:rPr/>
      </w:pPr>
      <w:r>
        <w:rPr>
          <w:b/>
          <w:bCs/>
          <w:lang w:eastAsia="ja-JP"/>
        </w:rPr>
        <w:t>Vulnerability:</w:t>
      </w:r>
      <w:r>
        <w:rPr>
          <w:lang w:eastAsia="ja-JP"/>
        </w:rPr>
        <w:t xml:space="preserve"> </w:t>
      </w:r>
      <w:r>
        <w:rPr>
          <w:bCs/>
        </w:rPr>
        <w:t>As defined in TR 33.916 [</w:t>
      </w:r>
      <w:r>
        <w:rPr/>
        <w:t>10</w:t>
      </w:r>
      <w:r>
        <w:rPr>
          <w:bCs/>
        </w:rPr>
        <w:t>].</w:t>
      </w:r>
    </w:p>
    <w:p>
      <w:pPr>
        <w:pStyle w:val="Heading2"/>
        <w:ind w:hanging="1134" w:left="1134"/>
        <w:rPr/>
      </w:pPr>
      <w:bookmarkStart w:id="28" w:name="__RefHeading___Toc153454902"/>
      <w:bookmarkEnd w:id="28"/>
      <w:r>
        <w:rPr/>
        <w:t>3.2</w:t>
        <w:tab/>
        <w:t>Symbols</w:t>
      </w:r>
    </w:p>
    <w:p>
      <w:pPr>
        <w:pStyle w:val="Normal"/>
        <w:rPr/>
      </w:pPr>
      <w:r>
        <w:rPr/>
        <w:t>Void.</w:t>
      </w:r>
    </w:p>
    <w:p>
      <w:pPr>
        <w:pStyle w:val="Heading2"/>
        <w:ind w:hanging="1134" w:left="1134"/>
        <w:rPr/>
      </w:pPr>
      <w:bookmarkStart w:id="29" w:name="__RefHeading___Toc153454903"/>
      <w:bookmarkEnd w:id="29"/>
      <w:r>
        <w:rPr/>
        <w:t>3.3</w:t>
        <w:tab/>
        <w:t>Abbreviations</w:t>
      </w:r>
    </w:p>
    <w:p>
      <w:pPr>
        <w:pStyle w:val="Normal"/>
        <w:keepNext w:val="true"/>
        <w:rPr/>
      </w:pPr>
      <w:r>
        <w:rPr/>
        <w:t>For the purposes of the present document, the abbreviations given in 3GPP TR 21.905 [1] and the following apply. An abbreviation defined in the present document takes precedence over the definition of the same abbreviation, if any, in 3GPP TR 21.905 [1].</w:t>
      </w:r>
    </w:p>
    <w:p>
      <w:pPr>
        <w:pStyle w:val="EW"/>
        <w:rPr>
          <w:lang w:eastAsia="zh-CN"/>
        </w:rPr>
      </w:pPr>
      <w:r>
        <w:rPr/>
        <w:t>5GS</w:t>
        <w:tab/>
        <w:t>5G System</w:t>
      </w:r>
    </w:p>
    <w:p>
      <w:pPr>
        <w:pStyle w:val="EW"/>
        <w:rPr/>
      </w:pPr>
      <w:r>
        <w:rPr/>
        <w:t>AMF</w:t>
        <w:tab/>
        <w:t>Access and Mobility Management Function</w:t>
      </w:r>
    </w:p>
    <w:p>
      <w:pPr>
        <w:pStyle w:val="EW"/>
        <w:rPr/>
      </w:pPr>
      <w:r>
        <w:rPr/>
        <w:t>AKA</w:t>
        <w:tab/>
        <w:t>Authentication and Key Agreement</w:t>
      </w:r>
    </w:p>
    <w:p>
      <w:pPr>
        <w:pStyle w:val="EW"/>
        <w:rPr/>
      </w:pPr>
      <w:r>
        <w:rPr/>
        <w:t>ARPF</w:t>
        <w:tab/>
        <w:t>Authentication credential Repository and Processing Function</w:t>
      </w:r>
    </w:p>
    <w:p>
      <w:pPr>
        <w:pStyle w:val="EW"/>
        <w:rPr/>
      </w:pPr>
      <w:r>
        <w:rPr/>
        <w:t>AUSF</w:t>
        <w:tab/>
        <w:t>Authentication Server Function</w:t>
      </w:r>
    </w:p>
    <w:p>
      <w:pPr>
        <w:pStyle w:val="EW"/>
        <w:rPr/>
      </w:pPr>
      <w:r>
        <w:rPr/>
        <w:t>AV</w:t>
        <w:tab/>
        <w:t>Authentication Vector</w:t>
      </w:r>
    </w:p>
    <w:p>
      <w:pPr>
        <w:pStyle w:val="EW"/>
        <w:rPr/>
      </w:pPr>
      <w:r>
        <w:rPr/>
        <w:t>EAP</w:t>
        <w:tab/>
        <w:t>Extensible Authentication Protocol</w:t>
      </w:r>
    </w:p>
    <w:p>
      <w:pPr>
        <w:pStyle w:val="EW"/>
        <w:rPr/>
      </w:pPr>
      <w:r>
        <w:rPr/>
        <w:t>JSON</w:t>
        <w:tab/>
        <w:t>Javascript Object Notation</w:t>
      </w:r>
    </w:p>
    <w:p>
      <w:pPr>
        <w:pStyle w:val="EW"/>
        <w:rPr/>
      </w:pPr>
      <w:r>
        <w:rPr/>
        <w:t>SBA</w:t>
        <w:tab/>
        <w:t>Service Based Architecture</w:t>
      </w:r>
    </w:p>
    <w:p>
      <w:pPr>
        <w:pStyle w:val="EW"/>
        <w:rPr/>
      </w:pPr>
      <w:r>
        <w:rPr/>
        <w:t>SBI</w:t>
        <w:tab/>
        <w:t>Service Based Interfaces</w:t>
      </w:r>
    </w:p>
    <w:p>
      <w:pPr>
        <w:pStyle w:val="EW"/>
        <w:rPr/>
      </w:pPr>
      <w:r>
        <w:rPr/>
        <w:t>SIDF</w:t>
        <w:tab/>
        <w:t xml:space="preserve">Subscription Identifier De-concealing Function </w:t>
      </w:r>
    </w:p>
    <w:p>
      <w:pPr>
        <w:pStyle w:val="EW"/>
        <w:rPr>
          <w:lang w:eastAsia="ko-KR"/>
        </w:rPr>
      </w:pPr>
      <w:r>
        <w:rPr>
          <w:lang w:eastAsia="ko-KR"/>
        </w:rPr>
        <w:t>SUCI</w:t>
        <w:tab/>
        <w:t>Subscription Concealed Identifier</w:t>
      </w:r>
    </w:p>
    <w:p>
      <w:pPr>
        <w:pStyle w:val="EW"/>
        <w:rPr/>
      </w:pPr>
      <w:r>
        <w:rPr/>
        <w:t>SUPI</w:t>
        <w:tab/>
        <w:t>Subscription Permanent Identifier</w:t>
      </w:r>
    </w:p>
    <w:p>
      <w:pPr>
        <w:pStyle w:val="EW"/>
        <w:rPr/>
      </w:pPr>
      <w:r>
        <w:rPr/>
        <w:t>TSC</w:t>
        <w:tab/>
        <w:t>Time Sensitive Communication</w:t>
      </w:r>
    </w:p>
    <w:p>
      <w:pPr>
        <w:pStyle w:val="EW"/>
        <w:rPr/>
      </w:pPr>
      <w:r>
        <w:rPr/>
        <w:t>UDM</w:t>
        <w:tab/>
        <w:t>Unified Data Management</w:t>
      </w:r>
    </w:p>
    <w:p>
      <w:pPr>
        <w:pStyle w:val="EX"/>
        <w:rPr/>
      </w:pPr>
      <w:r>
        <w:rPr/>
        <w:t>UDR</w:t>
        <w:tab/>
        <w:t>Unified Data Repository</w:t>
      </w:r>
    </w:p>
    <w:p>
      <w:pPr>
        <w:pStyle w:val="Heading1"/>
        <w:rPr/>
      </w:pPr>
      <w:bookmarkStart w:id="30" w:name="__RefHeading___Toc153454904"/>
      <w:bookmarkEnd w:id="30"/>
      <w:r>
        <w:rPr/>
        <w:t>4</w:t>
        <w:tab/>
        <w:t>UDM-specific security requirements and related test cases</w:t>
      </w:r>
    </w:p>
    <w:p>
      <w:pPr>
        <w:pStyle w:val="Heading2"/>
        <w:ind w:hanging="1134" w:left="1134"/>
        <w:rPr/>
      </w:pPr>
      <w:bookmarkStart w:id="31" w:name="__RefHeading___Toc153454905"/>
      <w:bookmarkEnd w:id="31"/>
      <w:r>
        <w:rPr/>
        <w:t>4.1</w:t>
        <w:tab/>
        <w:t>Introduction</w:t>
      </w:r>
    </w:p>
    <w:p>
      <w:pPr>
        <w:pStyle w:val="Normal"/>
        <w:rPr/>
      </w:pPr>
      <w:r>
        <w:rPr/>
        <w:t>UDM specific security requirements include both requirements derived from UDM specific security functional requirements in relevant specifications as well as security requirements introduced in the present document derived from the threats specific to UDM as described in TR 33.926 [4].</w:t>
      </w:r>
    </w:p>
    <w:p>
      <w:pPr>
        <w:pStyle w:val="Heading2"/>
        <w:ind w:hanging="1134" w:left="1134"/>
        <w:rPr/>
      </w:pPr>
      <w:bookmarkStart w:id="32" w:name="__RefHeading___Toc153454906"/>
      <w:bookmarkEnd w:id="32"/>
      <w:r>
        <w:rPr/>
        <w:t>4.2</w:t>
        <w:tab/>
        <w:t>Security functional requirements on the UDM derived from 3GPP specifications and related test cases</w:t>
      </w:r>
    </w:p>
    <w:p>
      <w:pPr>
        <w:pStyle w:val="Heading3"/>
        <w:ind w:hanging="1134" w:left="1134"/>
        <w:rPr>
          <w:rFonts w:eastAsia="SimSun;宋体"/>
        </w:rPr>
      </w:pPr>
      <w:bookmarkStart w:id="33" w:name="__RefHeading___Toc153454907"/>
      <w:bookmarkEnd w:id="33"/>
      <w:r>
        <w:rPr>
          <w:rFonts w:eastAsia="SimSun;宋体"/>
        </w:rPr>
        <w:t>4.2.0</w:t>
        <w:tab/>
        <w:t>General</w:t>
      </w:r>
    </w:p>
    <w:p>
      <w:pPr>
        <w:pStyle w:val="Normal"/>
        <w:rPr/>
      </w:pPr>
      <w:r>
        <w:rPr/>
        <w:t>The general approach in TS 33.117 [3] clause 4.2.2.1 and all the requirements and test cases in TS 33.117 [3] clause 4.2.2.2 related to SBA/SBI aspect apply to the UDM network product class.</w:t>
      </w:r>
    </w:p>
    <w:p>
      <w:pPr>
        <w:pStyle w:val="Heading3"/>
        <w:ind w:hanging="1134" w:left="1134"/>
        <w:rPr/>
      </w:pPr>
      <w:bookmarkStart w:id="34" w:name="__RefHeading___Toc153454908"/>
      <w:bookmarkEnd w:id="34"/>
      <w:r>
        <w:rPr/>
        <w:t>4.2.1</w:t>
        <w:tab/>
        <w:t>User Privacy Procedure</w:t>
      </w:r>
    </w:p>
    <w:p>
      <w:pPr>
        <w:pStyle w:val="Heading4"/>
        <w:rPr/>
      </w:pPr>
      <w:bookmarkStart w:id="35" w:name="__RefHeading___Toc153454909"/>
      <w:bookmarkEnd w:id="35"/>
      <w:r>
        <w:rPr/>
        <w:t>4.2.1.1</w:t>
        <w:tab/>
        <w:t>De-concealment of SUPI from the SUCI based on the protection scheme used to generate the SUCI</w:t>
      </w:r>
    </w:p>
    <w:p>
      <w:pPr>
        <w:pStyle w:val="Normal"/>
        <w:rPr/>
      </w:pPr>
      <w:r>
        <w:rPr>
          <w:i/>
        </w:rPr>
        <w:t>Requirement Name:</w:t>
      </w:r>
      <w:r>
        <w:rPr/>
        <w:t xml:space="preserve"> </w:t>
      </w:r>
      <w:r>
        <w:rPr>
          <w:lang w:eastAsia="ja-JP"/>
        </w:rPr>
        <w:t xml:space="preserve">De-concealment of SUPI from the SUCI based on the protection scheme used to generate the SUCI. </w:t>
      </w:r>
    </w:p>
    <w:p>
      <w:pPr>
        <w:pStyle w:val="Normal"/>
        <w:rPr/>
      </w:pPr>
      <w:r>
        <w:rPr>
          <w:i/>
        </w:rPr>
        <w:t>Requirement Reference:</w:t>
      </w:r>
      <w:r>
        <w:rPr/>
        <w:t xml:space="preserve"> TS 33.501 [2], clause 5.8.2.</w:t>
      </w:r>
    </w:p>
    <w:p>
      <w:pPr>
        <w:pStyle w:val="Normal"/>
        <w:rPr/>
      </w:pPr>
      <w:r>
        <w:rPr>
          <w:i/>
        </w:rPr>
        <w:t>Requirement Description:</w:t>
      </w:r>
      <w:r>
        <w:rPr/>
        <w:t xml:space="preserve"> The SIDF resolves the SUPI from the SUCI based on the protection scheme used to generate the SUCI as specified in TS 33.501 [2], clause 5.8.2. </w:t>
      </w:r>
    </w:p>
    <w:p>
      <w:pPr>
        <w:pStyle w:val="Normal"/>
        <w:rPr/>
      </w:pPr>
      <w:r>
        <w:rPr>
          <w:i/>
        </w:rPr>
        <w:t>Threat References</w:t>
      </w:r>
      <w:r>
        <w:rPr/>
        <w:t>: TR 33.926 [4], clause E.2.2.1, Incorrect SUCI de-concealment.</w:t>
      </w:r>
    </w:p>
    <w:p>
      <w:pPr>
        <w:pStyle w:val="Normal"/>
        <w:rPr>
          <w:b/>
        </w:rPr>
      </w:pPr>
      <w:r>
        <w:rPr>
          <w:b/>
        </w:rPr>
        <w:t>Test Case:</w:t>
      </w:r>
    </w:p>
    <w:p>
      <w:pPr>
        <w:pStyle w:val="Normal"/>
        <w:rPr/>
      </w:pPr>
      <w:r>
        <w:rPr>
          <w:b/>
        </w:rPr>
        <w:t xml:space="preserve">Test Name: </w:t>
      </w:r>
      <w:r>
        <w:rPr/>
        <w:t>TC_DE-CONCEAL_SUPI_from_SUCI_UDM</w:t>
      </w:r>
    </w:p>
    <w:p>
      <w:pPr>
        <w:pStyle w:val="Normal"/>
        <w:rPr>
          <w:b/>
          <w:bCs/>
        </w:rPr>
      </w:pPr>
      <w:r>
        <w:rPr>
          <w:b/>
          <w:bCs/>
        </w:rPr>
        <w:t>Purpose:</w:t>
      </w:r>
    </w:p>
    <w:p>
      <w:pPr>
        <w:pStyle w:val="Normal"/>
        <w:rPr/>
      </w:pPr>
      <w:r>
        <w:rPr/>
        <w:t>Verify that the SIDF De-conceals the SUPI from the SUCI based on the protection scheme used to generate the SUCI.</w:t>
      </w:r>
    </w:p>
    <w:p>
      <w:pPr>
        <w:pStyle w:val="Normal"/>
        <w:rPr>
          <w:b/>
          <w:bCs/>
          <w:lang w:eastAsia="zh-CN"/>
        </w:rPr>
      </w:pPr>
      <w:r>
        <w:rPr>
          <w:b/>
          <w:bCs/>
          <w:lang w:eastAsia="zh-CN"/>
        </w:rPr>
        <w:t>Procedure and execution steps:</w:t>
      </w:r>
    </w:p>
    <w:p>
      <w:pPr>
        <w:pStyle w:val="Normal"/>
        <w:rPr>
          <w:b/>
        </w:rPr>
      </w:pPr>
      <w:r>
        <w:rPr>
          <w:b/>
        </w:rPr>
        <w:t>Pre-Condition:</w:t>
      </w:r>
    </w:p>
    <w:p>
      <w:pPr>
        <w:pStyle w:val="B1"/>
        <w:rPr/>
      </w:pPr>
      <w:r>
        <w:rPr/>
        <w:t>-</w:t>
        <w:tab/>
        <w:t>UDM network product is connected in simulated/real network environment including an AUSF and AMF.</w:t>
      </w:r>
    </w:p>
    <w:p>
      <w:pPr>
        <w:pStyle w:val="B1"/>
        <w:rPr/>
      </w:pPr>
      <w:r>
        <w:rPr/>
        <w:t>-</w:t>
        <w:tab/>
        <w:t>Tester shall have access to the subscription data stored in UDR.</w:t>
      </w:r>
    </w:p>
    <w:p>
      <w:pPr>
        <w:pStyle w:val="B1"/>
        <w:rPr/>
      </w:pPr>
      <w:r>
        <w:rPr/>
        <w:t>-</w:t>
        <w:tab/>
        <w:t>Tester shall record the SUPI from the UE.</w:t>
      </w:r>
    </w:p>
    <w:p>
      <w:pPr>
        <w:pStyle w:val="Normal"/>
        <w:rPr>
          <w:b/>
        </w:rPr>
      </w:pPr>
      <w:r>
        <w:rPr>
          <w:b/>
        </w:rPr>
        <w:t>Execution Steps:</w:t>
      </w:r>
    </w:p>
    <w:p>
      <w:pPr>
        <w:pStyle w:val="Normal"/>
        <w:rPr/>
      </w:pPr>
      <w:r>
        <w:rPr/>
        <w:t xml:space="preserve">Tester shall capture the entire authentication procedure between UE and AMF over N1, N12 and N13 interface using any network analyser. </w:t>
      </w:r>
    </w:p>
    <w:p>
      <w:pPr>
        <w:pStyle w:val="B1"/>
        <w:rPr/>
      </w:pPr>
      <w:r>
        <w:rPr/>
        <w:t>1.</w:t>
        <w:tab/>
        <w:t>Tester shall filter the Nudm_UEAuthentication_Get Response message sent from UDM to AUSF over N13 interface containing the SUPI.</w:t>
      </w:r>
    </w:p>
    <w:p>
      <w:pPr>
        <w:pStyle w:val="B1"/>
        <w:rPr/>
      </w:pPr>
      <w:r>
        <w:rPr/>
        <w:t>2.</w:t>
        <w:tab/>
        <w:t xml:space="preserve">Tester shall compare the SUPI </w:t>
      </w:r>
      <w:r>
        <w:rPr>
          <w:rFonts w:eastAsia="SimSun;宋体"/>
          <w:lang w:eastAsia="zh-CN"/>
        </w:rPr>
        <w:t xml:space="preserve">gotten </w:t>
      </w:r>
      <w:r>
        <w:rPr/>
        <w:t>from UE and the SUPI retrieved from Nudm_UEAuthentication_Get Response message.</w:t>
      </w:r>
    </w:p>
    <w:p>
      <w:pPr>
        <w:pStyle w:val="NO"/>
        <w:rPr/>
      </w:pPr>
      <w:r>
        <w:rPr/>
        <w:t>NOTE:</w:t>
        <w:tab/>
        <w:t>The tester may filter the Nausf_UEAutentication_Authenticate Response message sent from the UDM/AUSF to the AMF over N12 interface containing the SUPI, if the UDM and AUSF network products are collocated without an open N13 interface.</w:t>
      </w:r>
    </w:p>
    <w:p>
      <w:pPr>
        <w:pStyle w:val="Normal"/>
        <w:rPr>
          <w:b/>
        </w:rPr>
      </w:pPr>
      <w:r>
        <w:rPr>
          <w:b/>
        </w:rPr>
        <w:t>Expected Results:</w:t>
      </w:r>
    </w:p>
    <w:p>
      <w:pPr>
        <w:pStyle w:val="Normal"/>
        <w:rPr/>
      </w:pPr>
      <w:r>
        <w:rPr/>
        <w:t>SIDF resolves the SUPI from the SUCI based on the protection scheme used to generate the SUCI.</w:t>
      </w:r>
    </w:p>
    <w:p>
      <w:pPr>
        <w:pStyle w:val="Normal"/>
        <w:rPr>
          <w:b/>
        </w:rPr>
      </w:pPr>
      <w:r>
        <w:rPr>
          <w:b/>
        </w:rPr>
        <w:t>Expected format of evidence:</w:t>
      </w:r>
    </w:p>
    <w:p>
      <w:pPr>
        <w:pStyle w:val="Normal"/>
        <w:rPr/>
      </w:pPr>
      <w:r>
        <w:rPr/>
        <w:t>Evidence suitable for the interface, e.g., evidence can be presented in the form of screenshot/screen-capture.</w:t>
      </w:r>
    </w:p>
    <w:p>
      <w:pPr>
        <w:pStyle w:val="Heading4"/>
        <w:rPr/>
      </w:pPr>
      <w:bookmarkStart w:id="36" w:name="__RefHeading___Toc153454910"/>
      <w:bookmarkEnd w:id="36"/>
      <w:r>
        <w:rPr/>
        <w:t>4.2.1.2</w:t>
        <w:tab/>
        <w:t>Rejection of SUCIs using an ECIES protection scheme with an invalid public key.</w:t>
      </w:r>
    </w:p>
    <w:p>
      <w:pPr>
        <w:pStyle w:val="Normal"/>
        <w:rPr/>
      </w:pPr>
      <w:r>
        <w:rPr>
          <w:i/>
        </w:rPr>
        <w:t>Requirement Name:</w:t>
      </w:r>
      <w:r>
        <w:rPr/>
        <w:t xml:space="preserve"> Rejection of SUCIs using an ECIES protection scheme with an invalid public key.</w:t>
      </w:r>
      <w:r>
        <w:rPr>
          <w:lang w:eastAsia="ja-JP"/>
        </w:rPr>
        <w:t xml:space="preserve"> </w:t>
      </w:r>
    </w:p>
    <w:p>
      <w:pPr>
        <w:pStyle w:val="Normal"/>
        <w:rPr/>
      </w:pPr>
      <w:r>
        <w:rPr>
          <w:i/>
        </w:rPr>
        <w:t>Requirement Reference:</w:t>
      </w:r>
      <w:r>
        <w:rPr/>
        <w:t xml:space="preserve"> TS 33.501 [2], clause C.3.3 with reference to SECG SEC 1 [8] clause 2.3.4.</w:t>
      </w:r>
    </w:p>
    <w:p>
      <w:pPr>
        <w:pStyle w:val="Normal"/>
        <w:rPr/>
      </w:pPr>
      <w:r>
        <w:rPr>
          <w:i/>
        </w:rPr>
        <w:t>Requirement Description:</w:t>
      </w:r>
      <w:r>
        <w:rPr/>
        <w:t xml:space="preserve"> Output: An elliptic curve point P, or "invalid" as specified [8], clause 2.3.4.</w:t>
      </w:r>
    </w:p>
    <w:p>
      <w:pPr>
        <w:pStyle w:val="Normal"/>
        <w:rPr/>
      </w:pPr>
      <w:r>
        <w:rPr>
          <w:i/>
        </w:rPr>
        <w:t>Threat References</w:t>
      </w:r>
      <w:r>
        <w:rPr/>
        <w:t>: TR 33.926 [4], clause E.2.2.6, Invalid public key.</w:t>
      </w:r>
    </w:p>
    <w:p>
      <w:pPr>
        <w:pStyle w:val="Normal"/>
        <w:rPr>
          <w:b/>
        </w:rPr>
      </w:pPr>
      <w:r>
        <w:rPr>
          <w:bCs/>
          <w:i/>
          <w:iCs/>
        </w:rPr>
        <w:t>Test Case:</w:t>
      </w:r>
    </w:p>
    <w:p>
      <w:pPr>
        <w:pStyle w:val="Normal"/>
        <w:rPr/>
      </w:pPr>
      <w:r>
        <w:rPr>
          <w:b/>
        </w:rPr>
        <w:t>Test Name</w:t>
      </w:r>
      <w:r>
        <w:rPr>
          <w:bCs/>
        </w:rPr>
        <w:t>: T</w:t>
      </w:r>
      <w:r>
        <w:rPr/>
        <w:t>C_REJECT_SUCI_PROFILE_B_INVALID_PUBKEY_UDM</w:t>
      </w:r>
    </w:p>
    <w:p>
      <w:pPr>
        <w:pStyle w:val="Normal"/>
        <w:rPr>
          <w:b/>
        </w:rPr>
      </w:pPr>
      <w:r>
        <w:rPr>
          <w:b/>
        </w:rPr>
        <w:t>Purpose:</w:t>
      </w:r>
    </w:p>
    <w:p>
      <w:pPr>
        <w:pStyle w:val="Normal"/>
        <w:rPr/>
      </w:pPr>
      <w:r>
        <w:rPr/>
        <w:t>Verify that the SIDF rejects the SUCI if it uses an ECIES protection scheme and contains an invalid point as the UE’s public key for Profile B.</w:t>
      </w:r>
    </w:p>
    <w:p>
      <w:pPr>
        <w:pStyle w:val="Normal"/>
        <w:keepNext w:val="true"/>
        <w:keepLines/>
        <w:spacing w:before="180" w:after="180"/>
        <w:rPr>
          <w:b/>
          <w:lang w:eastAsia="zh-CN"/>
        </w:rPr>
      </w:pPr>
      <w:r>
        <w:rPr>
          <w:b/>
          <w:lang w:eastAsia="zh-CN"/>
        </w:rPr>
        <w:t>Procedure and execution steps:</w:t>
      </w:r>
    </w:p>
    <w:p>
      <w:pPr>
        <w:pStyle w:val="Normal"/>
        <w:rPr>
          <w:b/>
        </w:rPr>
      </w:pPr>
      <w:r>
        <w:rPr>
          <w:b/>
        </w:rPr>
        <w:t>Pre-Condition:</w:t>
      </w:r>
    </w:p>
    <w:p>
      <w:pPr>
        <w:pStyle w:val="B1"/>
        <w:rPr/>
      </w:pPr>
      <w:r>
        <w:rPr/>
        <w:t>-</w:t>
        <w:tab/>
        <w:t>The tester has access to the public information of the SUCI profile (e.g., profile type, public key …) of the UDM/SIDF under test.</w:t>
      </w:r>
    </w:p>
    <w:p>
      <w:pPr>
        <w:pStyle w:val="B1"/>
        <w:rPr/>
      </w:pPr>
      <w:r>
        <w:rPr/>
        <w:t>-</w:t>
        <w:tab/>
        <w:t xml:space="preserve">The tester has configured the UDM to use Profile B. </w:t>
      </w:r>
    </w:p>
    <w:p>
      <w:pPr>
        <w:pStyle w:val="B1"/>
        <w:ind w:firstLine="284" w:left="0" w:right="0"/>
        <w:rPr/>
      </w:pPr>
      <w:r>
        <w:rPr/>
        <w:t>-</w:t>
        <w:tab/>
        <w:t>The tester has access to a SUPI of provisioned subscriber.</w:t>
      </w:r>
    </w:p>
    <w:p>
      <w:pPr>
        <w:pStyle w:val="Normal"/>
        <w:rPr>
          <w:b/>
        </w:rPr>
      </w:pPr>
      <w:r>
        <w:rPr>
          <w:b/>
        </w:rPr>
        <w:t>Execution Steps</w:t>
      </w:r>
    </w:p>
    <w:p>
      <w:pPr>
        <w:pStyle w:val="B1"/>
        <w:rPr>
          <w:b/>
        </w:rPr>
      </w:pPr>
      <w:r>
        <w:rPr/>
        <w:t>1.</w:t>
        <w:tab/>
        <w:t>The tester selects an invalid point (NOTE 1) and uses the point as a public key to encrypt the SUPI based on the encryption defined in Annex C of 33.501 [2] and SECG SEC 1 [8] (NOTE 2).</w:t>
      </w:r>
    </w:p>
    <w:p>
      <w:pPr>
        <w:pStyle w:val="B1"/>
        <w:rPr/>
      </w:pPr>
      <w:r>
        <w:rPr/>
        <w:t>2.</w:t>
        <w:tab/>
        <w:t>The tester sends the SUCI to the Nudm_UEAuthentication_Get service of the UDM/ SIDF under test.</w:t>
      </w:r>
    </w:p>
    <w:p>
      <w:pPr>
        <w:pStyle w:val="NO"/>
        <w:rPr/>
      </w:pPr>
      <w:r>
        <w:rPr/>
        <w:t xml:space="preserve">NOTE 1: </w:t>
        <w:tab/>
        <w:t>An example invalid point for Profile B (of order 47) is: 0x049af0190d4e237c462c94c447052c770f6d348866f1dbbe29a0ee889f18835d6a973457a6730323716ef2c8a3723793be64b54cec40eb86ab194057c95baf8cfe.</w:t>
      </w:r>
    </w:p>
    <w:p>
      <w:pPr>
        <w:pStyle w:val="NO"/>
        <w:rPr/>
      </w:pPr>
      <w:r>
        <w:rPr/>
        <w:t xml:space="preserve">NOTE 2: </w:t>
        <w:tab/>
        <w:t>An example SUCI encrypted with the invalid point (above) for the MCC|MNC (274012) and MSIN (001002086) for Profile B (Annex C of 33.501 [2]) is:  suci-0-274-012-0-2-2-049af0190d4e237c462c94c447052c770f6d348866f1dbbe29a0ee889f18835d6a973457a6730323716ef2c8a3723793be64b54cec40eb86ab194057c95baf8cfe8cf9a0959454b74e31a331018b.</w:t>
      </w:r>
    </w:p>
    <w:p>
      <w:pPr>
        <w:pStyle w:val="Normal"/>
        <w:rPr>
          <w:b/>
          <w:bCs/>
        </w:rPr>
      </w:pPr>
      <w:r>
        <w:rPr>
          <w:b/>
          <w:bCs/>
        </w:rPr>
        <w:t>Expected Results:</w:t>
      </w:r>
    </w:p>
    <w:p>
      <w:pPr>
        <w:pStyle w:val="Normal"/>
        <w:rPr/>
      </w:pPr>
      <w:r>
        <w:rPr/>
        <w:t>The UDM/SIDF rejects the SUCI, and the UDM sends a Nudm_UEAuthentication_Get Response message with an HTTP status code "403 Forbidden" and may include additional error information in the response body (in "ProblemDetails" element) as specified in TS 29.503 [9], clause 5.4.2.2.2, 2b.</w:t>
      </w:r>
    </w:p>
    <w:p>
      <w:pPr>
        <w:pStyle w:val="NO"/>
        <w:rPr/>
      </w:pPr>
      <w:r>
        <w:rPr/>
        <w:t xml:space="preserve">NOTE 3:  </w:t>
        <w:tab/>
        <w:t>Values for "ProblemDetails" may be AUTHENTICATION_REJECTED or INVALID_SCHEME_OUTPUT as specified in TS 29.503 [9], clause 6.3.3.2.4.2.2-2.</w:t>
      </w:r>
    </w:p>
    <w:p>
      <w:pPr>
        <w:pStyle w:val="Normal"/>
        <w:rPr>
          <w:b/>
        </w:rPr>
      </w:pPr>
      <w:r>
        <w:rPr>
          <w:b/>
        </w:rPr>
        <w:t>Expected format of evidence:</w:t>
      </w:r>
    </w:p>
    <w:p>
      <w:pPr>
        <w:pStyle w:val="Normal"/>
        <w:rPr/>
      </w:pPr>
      <w:r>
        <w:rPr/>
        <w:t>Evidence suitable for the interface, e.g., evidence can be presented in the form of packet trace (e.g., pcap file).</w:t>
      </w:r>
    </w:p>
    <w:p>
      <w:pPr>
        <w:pStyle w:val="Heading4"/>
        <w:ind w:hanging="0" w:left="0" w:right="0"/>
        <w:rPr/>
      </w:pPr>
      <w:bookmarkStart w:id="37" w:name="__RefHeading___Toc153454911"/>
      <w:bookmarkEnd w:id="37"/>
      <w:r>
        <w:rPr/>
        <w:t>4.2.1.3</w:t>
        <w:tab/>
        <w:t>Rejection of SUCIs using an uncompressed point with Profile B.</w:t>
      </w:r>
    </w:p>
    <w:p>
      <w:pPr>
        <w:pStyle w:val="Normal"/>
        <w:rPr/>
      </w:pPr>
      <w:r>
        <w:rPr>
          <w:i/>
        </w:rPr>
        <w:t>Requirement Name:</w:t>
      </w:r>
      <w:r>
        <w:rPr/>
        <w:t xml:space="preserve"> Rejection of SUCIs using an uncompressed point with Profile B.</w:t>
      </w:r>
      <w:r>
        <w:rPr>
          <w:lang w:eastAsia="ja-JP"/>
        </w:rPr>
        <w:t xml:space="preserve"> </w:t>
      </w:r>
    </w:p>
    <w:p>
      <w:pPr>
        <w:pStyle w:val="Normal"/>
        <w:rPr/>
      </w:pPr>
      <w:r>
        <w:rPr>
          <w:i/>
        </w:rPr>
        <w:t>Requirement Reference:</w:t>
      </w:r>
      <w:r>
        <w:rPr/>
        <w:t xml:space="preserve"> TS 33.501 [2], clause C.3.4.0.</w:t>
      </w:r>
    </w:p>
    <w:p>
      <w:pPr>
        <w:pStyle w:val="Normal"/>
        <w:rPr/>
      </w:pPr>
      <w:r>
        <w:rPr>
          <w:i/>
        </w:rPr>
        <w:t>Requirement Description:</w:t>
      </w:r>
      <w:r>
        <w:rPr/>
        <w:t xml:space="preserve"> Profile B shall use point compression to save overhead as specified in TS 33.501 [2], clause C.3.4.0. </w:t>
      </w:r>
    </w:p>
    <w:p>
      <w:pPr>
        <w:pStyle w:val="Normal"/>
        <w:rPr/>
      </w:pPr>
      <w:r>
        <w:rPr>
          <w:i/>
        </w:rPr>
        <w:t>Threat References</w:t>
      </w:r>
      <w:r>
        <w:rPr/>
        <w:t>: TR 33.926 [4], clause E.2.2.6, Invalid public key.</w:t>
      </w:r>
    </w:p>
    <w:p>
      <w:pPr>
        <w:pStyle w:val="Normal"/>
        <w:rPr>
          <w:b/>
        </w:rPr>
      </w:pPr>
      <w:r>
        <w:rPr>
          <w:bCs/>
          <w:i/>
          <w:iCs/>
        </w:rPr>
        <w:t>Test Case:</w:t>
      </w:r>
    </w:p>
    <w:p>
      <w:pPr>
        <w:pStyle w:val="Normal"/>
        <w:rPr/>
      </w:pPr>
      <w:r>
        <w:rPr>
          <w:b/>
        </w:rPr>
        <w:t xml:space="preserve">Test Name: </w:t>
      </w:r>
      <w:r>
        <w:rPr/>
        <w:t>TC_REJECT_SUCI_PROFILE_B_NO_COMPRESSION_UDM</w:t>
      </w:r>
    </w:p>
    <w:p>
      <w:pPr>
        <w:pStyle w:val="Normal"/>
        <w:rPr>
          <w:b/>
        </w:rPr>
      </w:pPr>
      <w:r>
        <w:rPr>
          <w:b/>
        </w:rPr>
        <w:t>Purpose:</w:t>
      </w:r>
    </w:p>
    <w:p>
      <w:pPr>
        <w:pStyle w:val="Normal"/>
        <w:rPr/>
      </w:pPr>
      <w:r>
        <w:rPr/>
        <w:t>Verify that the SIDF rejects the SUCI if it uses the ECIES Profile B protection scheme and contains an uncompressed point as the UE's public key.</w:t>
      </w:r>
    </w:p>
    <w:p>
      <w:pPr>
        <w:pStyle w:val="Normal"/>
        <w:rPr>
          <w:b/>
          <w:lang w:eastAsia="zh-CN"/>
        </w:rPr>
      </w:pPr>
      <w:r>
        <w:rPr>
          <w:b/>
          <w:lang w:eastAsia="zh-CN"/>
        </w:rPr>
        <w:t>Procedure and execution steps:</w:t>
      </w:r>
    </w:p>
    <w:p>
      <w:pPr>
        <w:pStyle w:val="Normal"/>
        <w:rPr>
          <w:b/>
        </w:rPr>
      </w:pPr>
      <w:r>
        <w:rPr>
          <w:b/>
        </w:rPr>
        <w:t>Pre-Condition:</w:t>
      </w:r>
    </w:p>
    <w:p>
      <w:pPr>
        <w:pStyle w:val="Normal"/>
        <w:rPr/>
      </w:pPr>
      <w:r>
        <w:rPr/>
        <w:t>Tester shall have access to the HN’s public key for SUCI decryption with Profile B.</w:t>
      </w:r>
    </w:p>
    <w:p>
      <w:pPr>
        <w:pStyle w:val="B1"/>
        <w:ind w:hanging="0" w:left="0" w:right="0"/>
        <w:rPr>
          <w:b/>
        </w:rPr>
      </w:pPr>
      <w:r>
        <w:rPr>
          <w:b/>
        </w:rPr>
        <w:t>Execution Steps</w:t>
      </w:r>
    </w:p>
    <w:p>
      <w:pPr>
        <w:pStyle w:val="B1"/>
        <w:rPr/>
      </w:pPr>
      <w:r>
        <w:rPr/>
        <w:t>1.</w:t>
        <w:tab/>
        <w:t>The tester shall generate a SUCI for a registered SUPI with the protection scheme output for Profile B. Theephemeral public key of the UE should be in the uncompressed point format specified in [x] clause 2.3.3. The remaining parts of the protection scheme output retain their format [x].</w:t>
      </w:r>
    </w:p>
    <w:p>
      <w:pPr>
        <w:pStyle w:val="NO"/>
        <w:rPr/>
      </w:pPr>
      <w:r>
        <w:rPr/>
        <w:t xml:space="preserve">NOTE 1: </w:t>
        <w:tab/>
        <w:t>The uncompressed point format shall have a size of 65 bytes, and the most significant byte shall be 0x04. The compressed point format shall have a size of 33 bytes, with 0x02 or 0x03 as the most significant byte. Test data in TS 33.501 [2], clause C.4.4.1.</w:t>
      </w:r>
    </w:p>
    <w:p>
      <w:pPr>
        <w:pStyle w:val="B1"/>
        <w:rPr/>
      </w:pPr>
      <w:r>
        <w:rPr/>
        <w:t>2.</w:t>
        <w:tab/>
        <w:t>The tester shall send the SUCI to the Nudm_UEAuthentication_Get service of the UDM/ SIDF under test.</w:t>
      </w:r>
    </w:p>
    <w:p>
      <w:pPr>
        <w:pStyle w:val="Normal"/>
        <w:rPr>
          <w:b/>
          <w:bCs/>
        </w:rPr>
      </w:pPr>
      <w:r>
        <w:rPr>
          <w:b/>
          <w:bCs/>
        </w:rPr>
        <w:t>Expected Results:</w:t>
      </w:r>
    </w:p>
    <w:p>
      <w:pPr>
        <w:pStyle w:val="Normal"/>
        <w:rPr/>
      </w:pPr>
      <w:r>
        <w:rPr/>
        <w:t>The SIDF rejects the SUCI, and the UDM sends a Nudm_UEAuthentication_Get Response message with an HTTP status code "403 Forbidden" and may include additional error information in the response body (in "ProblemDetails" element) as specified in TS 29.503 [9], clause 5.4.2.2.2, 2b.</w:t>
      </w:r>
    </w:p>
    <w:p>
      <w:pPr>
        <w:pStyle w:val="NO"/>
        <w:rPr/>
      </w:pPr>
      <w:r>
        <w:rPr/>
        <w:t>NOTE 2:  Values for "ProblemDetails" may be AUTHENTICATION_REJECTED or INVALID_SCHEME_OUTPUT as specified in TS 29.503 [9], clause 6.3.3.2.4.2.2-2.</w:t>
      </w:r>
    </w:p>
    <w:p>
      <w:pPr>
        <w:pStyle w:val="Normal"/>
        <w:rPr>
          <w:b/>
        </w:rPr>
      </w:pPr>
      <w:r>
        <w:rPr>
          <w:b/>
        </w:rPr>
        <w:t>Expected format of evidence:</w:t>
      </w:r>
    </w:p>
    <w:p>
      <w:pPr>
        <w:pStyle w:val="Normal"/>
        <w:rPr/>
      </w:pPr>
      <w:r>
        <w:rPr/>
        <w:t>Evidence suitable for the interface, e.g., evidence can be presented in the form of packet trace (e.g., pcap file).</w:t>
      </w:r>
    </w:p>
    <w:p>
      <w:pPr>
        <w:pStyle w:val="Heading3"/>
        <w:ind w:hanging="1134" w:left="1134"/>
        <w:rPr/>
      </w:pPr>
      <w:bookmarkStart w:id="38" w:name="__RefHeading___Toc153454912"/>
      <w:bookmarkEnd w:id="38"/>
      <w:r>
        <w:rPr/>
        <w:t>4.2.2</w:t>
        <w:tab/>
        <w:t>Authentication and key agreement procedure</w:t>
      </w:r>
    </w:p>
    <w:p>
      <w:pPr>
        <w:pStyle w:val="Heading4"/>
        <w:rPr/>
      </w:pPr>
      <w:bookmarkStart w:id="39" w:name="__RefHeading___Toc153454913"/>
      <w:bookmarkEnd w:id="39"/>
      <w:r>
        <w:rPr/>
        <w:t>4.2.2.1</w:t>
        <w:tab/>
        <w:t>Synchronization failure handling</w:t>
      </w:r>
    </w:p>
    <w:p>
      <w:pPr>
        <w:pStyle w:val="Normal"/>
        <w:rPr>
          <w:lang w:eastAsia="zh-CN"/>
        </w:rPr>
      </w:pPr>
      <w:r>
        <w:rPr>
          <w:i/>
        </w:rPr>
        <w:t>Requirement Name</w:t>
      </w:r>
      <w:r>
        <w:rPr/>
        <w:t>: Synchronization failure handling</w:t>
      </w:r>
    </w:p>
    <w:p>
      <w:pPr>
        <w:pStyle w:val="Normal"/>
        <w:rPr/>
      </w:pPr>
      <w:r>
        <w:rPr>
          <w:i/>
        </w:rPr>
        <w:t xml:space="preserve">Requirement Reference: </w:t>
      </w:r>
      <w:r>
        <w:rPr/>
        <w:t>TS 33.501 [2], clause 6.1.3.3.2.</w:t>
      </w:r>
    </w:p>
    <w:p>
      <w:pPr>
        <w:pStyle w:val="Normal"/>
        <w:rPr/>
      </w:pPr>
      <w:r>
        <w:rPr>
          <w:i/>
        </w:rPr>
        <w:t>Requirement Description</w:t>
      </w:r>
      <w:r>
        <w:rPr/>
        <w:t xml:space="preserve">: When the UDM/ARPF receives an Nudm_UEAuthentication_Get Request message with a "synchronisation failure indication" it acts as described in TS 33.102 [7], clause 6.3.5 where ARPF is mapped to HE/AuC. The UDM/ARPF sends an Nudm_UEAuthentication_Get Response message with a new authentication vector for either EAP-AKA' or 5G-AKA depending on the authentication method applicable for the user to the AUSF </w:t>
      </w:r>
      <w:r>
        <w:rPr>
          <w:lang w:eastAsia="zh-CN"/>
        </w:rPr>
        <w:t xml:space="preserve">as specified in </w:t>
      </w:r>
      <w:r>
        <w:rPr/>
        <w:t>TS 33.501 [2], clause 6.1.3.3.2.</w:t>
      </w:r>
    </w:p>
    <w:p>
      <w:pPr>
        <w:pStyle w:val="Normal"/>
        <w:rPr/>
      </w:pPr>
      <w:r>
        <w:rPr>
          <w:i/>
        </w:rPr>
        <w:t>Threat References</w:t>
      </w:r>
      <w:r>
        <w:rPr/>
        <w:t>: TR 33.926 [4], clause E.2.2.2, Synchronization failure.</w:t>
      </w:r>
    </w:p>
    <w:p>
      <w:pPr>
        <w:pStyle w:val="Normal"/>
        <w:rPr/>
      </w:pPr>
      <w:r>
        <w:rPr>
          <w:i/>
        </w:rPr>
        <w:t>Test Case</w:t>
      </w:r>
      <w:r>
        <w:rPr/>
        <w:t xml:space="preserve">: </w:t>
      </w:r>
    </w:p>
    <w:p>
      <w:pPr>
        <w:pStyle w:val="Normal"/>
        <w:rPr>
          <w:b/>
          <w:lang w:eastAsia="zh-CN"/>
        </w:rPr>
      </w:pPr>
      <w:r>
        <w:rPr/>
        <w:t>Test Name: TC_SYNC_FAILURE_HANDLING_UDM</w:t>
      </w:r>
    </w:p>
    <w:p>
      <w:pPr>
        <w:pStyle w:val="Normal"/>
        <w:rPr>
          <w:b/>
          <w:lang w:eastAsia="zh-CN"/>
        </w:rPr>
      </w:pPr>
      <w:r>
        <w:rPr>
          <w:b/>
          <w:lang w:eastAsia="zh-CN"/>
        </w:rPr>
        <w:t>Purpose:</w:t>
      </w:r>
    </w:p>
    <w:p>
      <w:pPr>
        <w:pStyle w:val="Normal"/>
        <w:rPr/>
      </w:pPr>
      <w:r>
        <w:rPr>
          <w:lang w:eastAsia="zh-CN"/>
        </w:rPr>
        <w:t xml:space="preserve">Verify that </w:t>
      </w:r>
      <w:r>
        <w:rPr/>
        <w:t>synchronization failure is recovered correctly in the home network</w:t>
      </w:r>
      <w:r>
        <w:rPr>
          <w:lang w:eastAsia="zh-CN"/>
        </w:rPr>
        <w:t xml:space="preserve">. </w:t>
      </w:r>
    </w:p>
    <w:p>
      <w:pPr>
        <w:pStyle w:val="Normal"/>
        <w:rPr>
          <w:b/>
          <w:lang w:eastAsia="zh-CN"/>
        </w:rPr>
      </w:pPr>
      <w:r>
        <w:rPr>
          <w:b/>
          <w:lang w:eastAsia="zh-CN"/>
        </w:rPr>
        <w:t>Pre-Conditions:</w:t>
      </w:r>
    </w:p>
    <w:p>
      <w:pPr>
        <w:pStyle w:val="Normal"/>
        <w:rPr/>
      </w:pPr>
      <w:r>
        <w:rPr>
          <w:lang w:eastAsia="zh-CN"/>
        </w:rPr>
        <w:t xml:space="preserve">Test environment with an AUSF. The AUSF or AMF may be simulated. </w:t>
      </w:r>
    </w:p>
    <w:p>
      <w:pPr>
        <w:pStyle w:val="Normal"/>
        <w:rPr>
          <w:b/>
          <w:lang w:eastAsia="zh-CN"/>
        </w:rPr>
      </w:pPr>
      <w:r>
        <w:rPr>
          <w:b/>
          <w:lang w:eastAsia="zh-CN"/>
        </w:rPr>
        <w:t>Execution Steps</w:t>
      </w:r>
    </w:p>
    <w:p>
      <w:pPr>
        <w:pStyle w:val="B1"/>
        <w:rPr/>
      </w:pPr>
      <w:r>
        <w:rPr>
          <w:lang w:eastAsia="zh-CN"/>
        </w:rPr>
        <w:t>1.</w:t>
        <w:tab/>
        <w:t xml:space="preserve">The AUSF sends </w:t>
      </w:r>
      <w:r>
        <w:rPr/>
        <w:t>an Nudm_UEAuthentication_Get Request message to the UDM with a "synchronisation failure indication" and parameters RAND and AUTS</w:t>
      </w:r>
      <w:r>
        <w:rPr>
          <w:lang w:eastAsia="zh-CN"/>
        </w:rPr>
        <w:t>.</w:t>
      </w:r>
    </w:p>
    <w:p>
      <w:pPr>
        <w:pStyle w:val="B1"/>
        <w:rPr>
          <w:lang w:eastAsia="zh-CN"/>
        </w:rPr>
      </w:pPr>
      <w:r>
        <w:rPr>
          <w:lang w:eastAsia="zh-CN"/>
        </w:rPr>
        <w:t>2.</w:t>
        <w:tab/>
        <w:t xml:space="preserve">The UDM/ARPF performs steps 1-5 as described in </w:t>
      </w:r>
      <w:r>
        <w:rPr/>
        <w:t>TS 33.102, clause 6.3.5.</w:t>
      </w:r>
    </w:p>
    <w:p>
      <w:pPr>
        <w:pStyle w:val="Normal"/>
        <w:rPr>
          <w:b/>
          <w:lang w:eastAsia="zh-CN"/>
        </w:rPr>
      </w:pPr>
      <w:r>
        <w:rPr>
          <w:b/>
          <w:lang w:eastAsia="zh-CN"/>
        </w:rPr>
        <w:t>Expected Results:</w:t>
      </w:r>
    </w:p>
    <w:p>
      <w:pPr>
        <w:pStyle w:val="Normal"/>
        <w:rPr>
          <w:lang w:eastAsia="zh-CN"/>
        </w:rPr>
      </w:pPr>
      <w:r>
        <w:rPr/>
        <w:t>The UDM sends an Nudm_UEAuthentication_Get Response message with a new authentication vector to the AUSF</w:t>
      </w:r>
      <w:r>
        <w:rPr>
          <w:lang w:eastAsia="zh-CN"/>
        </w:rPr>
        <w:t>.</w:t>
      </w:r>
    </w:p>
    <w:p>
      <w:pPr>
        <w:pStyle w:val="NO"/>
        <w:rPr>
          <w:lang w:eastAsia="zh-CN"/>
        </w:rPr>
      </w:pPr>
      <w:r>
        <w:rPr/>
        <w:t>NOTE:</w:t>
        <w:tab/>
        <w:t>The expected results would be that the UDM/AUSF sends an Nausf_UEAuthentication_Authenticate Response message with EAP Request/AKA’-Challenge for EAP AKA’, or 5G SE AV for 5G AKA to the AMF, if the UDM and AUSF network products are collocated without an open N13 interface.</w:t>
      </w:r>
    </w:p>
    <w:p>
      <w:pPr>
        <w:pStyle w:val="Normal"/>
        <w:rPr>
          <w:b/>
          <w:bCs/>
        </w:rPr>
      </w:pPr>
      <w:r>
        <w:rPr>
          <w:b/>
          <w:bCs/>
        </w:rPr>
        <w:t>Expected format of evidence:</w:t>
      </w:r>
    </w:p>
    <w:p>
      <w:pPr>
        <w:pStyle w:val="Normal"/>
        <w:rPr/>
      </w:pPr>
      <w:r>
        <w:rPr/>
        <w:t>Evidence suitable for the interface, e.g., Screenshot, packet capture or application log containing the operational results.</w:t>
      </w:r>
    </w:p>
    <w:p>
      <w:pPr>
        <w:pStyle w:val="Heading4"/>
        <w:rPr/>
      </w:pPr>
      <w:bookmarkStart w:id="40" w:name="__RefHeading___Toc153454914"/>
      <w:r>
        <w:rPr/>
        <w:t>4.2.2.2</w:t>
        <w:tab/>
        <w:t>Storing of authentication status of UE by UDM</w:t>
      </w:r>
      <w:bookmarkEnd w:id="40"/>
      <w:r>
        <w:rPr/>
        <w:t xml:space="preserve"> </w:t>
      </w:r>
    </w:p>
    <w:p>
      <w:pPr>
        <w:pStyle w:val="Normal"/>
        <w:rPr/>
      </w:pPr>
      <w:r>
        <w:rPr>
          <w:i/>
        </w:rPr>
        <w:t>Requirement Name:</w:t>
      </w:r>
      <w:r>
        <w:rPr>
          <w:lang w:eastAsia="ja-JP"/>
        </w:rPr>
        <w:t xml:space="preserve"> Storing of authentication status of UE by UDM. </w:t>
      </w:r>
    </w:p>
    <w:p>
      <w:pPr>
        <w:pStyle w:val="Normal"/>
        <w:rPr/>
      </w:pPr>
      <w:r>
        <w:rPr>
          <w:i/>
        </w:rPr>
        <w:t>Requirement Reference:</w:t>
      </w:r>
      <w:r>
        <w:rPr/>
        <w:t xml:space="preserve"> TS 33.501 [2], clause 6.1.4.1a</w:t>
      </w:r>
    </w:p>
    <w:p>
      <w:pPr>
        <w:pStyle w:val="Normal"/>
        <w:rPr/>
      </w:pPr>
      <w:r>
        <w:rPr>
          <w:i/>
        </w:rPr>
        <w:t>Requirement Description:</w:t>
      </w:r>
      <w:r>
        <w:rPr/>
        <w:t xml:space="preserve"> The UDM stores the authentication status of the UE (SUPI, authentication result, time stamp, and the serving network name) after authentication as specified in TS 33.501 [2], clause 6.1.4.1a.</w:t>
      </w:r>
    </w:p>
    <w:p>
      <w:pPr>
        <w:pStyle w:val="Normal"/>
        <w:rPr/>
      </w:pPr>
      <w:r>
        <w:rPr>
          <w:i/>
        </w:rPr>
        <w:t>Threat References</w:t>
      </w:r>
      <w:r>
        <w:rPr/>
        <w:t>: TR 33.926 [4], clause E.2.2.3, Failure to store of authentication status.</w:t>
      </w:r>
    </w:p>
    <w:p>
      <w:pPr>
        <w:pStyle w:val="Normal"/>
        <w:rPr/>
      </w:pPr>
      <w:r>
        <w:rPr>
          <w:b/>
        </w:rPr>
        <w:t xml:space="preserve">Test Case: </w:t>
      </w:r>
    </w:p>
    <w:p>
      <w:pPr>
        <w:pStyle w:val="Normal"/>
        <w:rPr/>
      </w:pPr>
      <w:r>
        <w:rPr>
          <w:b/>
        </w:rPr>
        <w:t xml:space="preserve">Test Name: </w:t>
      </w:r>
      <w:r>
        <w:rPr/>
        <w:t>TC_AUTH_STATUS_STORE_UDM</w:t>
      </w:r>
    </w:p>
    <w:p>
      <w:pPr>
        <w:pStyle w:val="Normal"/>
        <w:rPr>
          <w:b/>
        </w:rPr>
      </w:pPr>
      <w:r>
        <w:rPr>
          <w:b/>
        </w:rPr>
        <w:t xml:space="preserve">Purpose: </w:t>
      </w:r>
    </w:p>
    <w:p>
      <w:pPr>
        <w:pStyle w:val="Normal"/>
        <w:rPr/>
      </w:pPr>
      <w:r>
        <w:rPr/>
        <w:t>Verify that the UDM under test stores the authentication status of UE.</w:t>
      </w:r>
    </w:p>
    <w:p>
      <w:pPr>
        <w:pStyle w:val="Normal"/>
        <w:keepNext w:val="true"/>
        <w:keepLines/>
        <w:spacing w:before="180" w:after="180"/>
        <w:rPr>
          <w:b/>
          <w:lang w:eastAsia="zh-CN"/>
        </w:rPr>
      </w:pPr>
      <w:r>
        <w:rPr>
          <w:b/>
          <w:lang w:eastAsia="zh-CN"/>
        </w:rPr>
        <w:t>Procedure and execution steps:</w:t>
      </w:r>
    </w:p>
    <w:p>
      <w:pPr>
        <w:pStyle w:val="Normal"/>
        <w:rPr>
          <w:b/>
        </w:rPr>
      </w:pPr>
      <w:r>
        <w:rPr>
          <w:b/>
        </w:rPr>
        <w:t xml:space="preserve">Pre-Condition: </w:t>
      </w:r>
    </w:p>
    <w:p>
      <w:pPr>
        <w:pStyle w:val="B1"/>
        <w:rPr/>
      </w:pPr>
      <w:r>
        <w:rPr/>
        <w:t>-</w:t>
        <w:tab/>
        <w:t>UDM network product is connected with an AUSF in simulated/real network environment.</w:t>
      </w:r>
    </w:p>
    <w:p>
      <w:pPr>
        <w:pStyle w:val="B1"/>
        <w:rPr>
          <w:rFonts w:eastAsia="Calibri"/>
        </w:rPr>
      </w:pPr>
      <w:r>
        <w:rPr>
          <w:rFonts w:eastAsia="Calibri"/>
        </w:rPr>
        <w:t>-</w:t>
        <w:tab/>
        <w:t>The tester shall have access to the UDM under test.</w:t>
      </w:r>
    </w:p>
    <w:p>
      <w:pPr>
        <w:pStyle w:val="Normal"/>
        <w:rPr>
          <w:b/>
        </w:rPr>
      </w:pPr>
      <w:r>
        <w:rPr>
          <w:b/>
        </w:rPr>
        <w:t xml:space="preserve">Execution Steps: </w:t>
      </w:r>
    </w:p>
    <w:p>
      <w:pPr>
        <w:pStyle w:val="B1"/>
        <w:rPr/>
      </w:pPr>
      <w:r>
        <w:rPr/>
        <w:t>1.</w:t>
        <w:tab/>
        <w:t>The tester shall send an Nudm_UEAuthentication_Get Request message to the UDM with the UE credentials and a selected serving network name.</w:t>
      </w:r>
    </w:p>
    <w:p>
      <w:pPr>
        <w:pStyle w:val="B1"/>
        <w:rPr/>
      </w:pPr>
      <w:r>
        <w:rPr/>
        <w:t xml:space="preserve">2. </w:t>
        <w:tab/>
        <w:t>The tester shall receive a successful Nudm_UEAuthentication_Get Response from the UDM.</w:t>
      </w:r>
    </w:p>
    <w:p>
      <w:pPr>
        <w:pStyle w:val="B1"/>
        <w:rPr/>
      </w:pPr>
      <w:r>
        <w:rPr/>
        <w:t xml:space="preserve">3. </w:t>
        <w:tab/>
        <w:t>The tester shall simulate the successful authentication by sending the Nudm_UEAuthentication_ResultConfirmation Request message with a selected timestamp to the UDM.</w:t>
      </w:r>
    </w:p>
    <w:p>
      <w:pPr>
        <w:pStyle w:val="B1"/>
        <w:rPr/>
      </w:pPr>
      <w:r>
        <w:rPr>
          <w:rFonts w:eastAsia="Calibri"/>
        </w:rPr>
        <w:t>4.</w:t>
        <w:tab/>
        <w:t>The tester shall receive a successful Nudm_UEAuthentication_ResultConfirmation Response message from the UDM.</w:t>
      </w:r>
    </w:p>
    <w:p>
      <w:pPr>
        <w:pStyle w:val="B1"/>
        <w:rPr/>
      </w:pPr>
      <w:r>
        <w:rPr/>
        <w:t>5.</w:t>
        <w:tab/>
        <w:t>The tester shall compare the serving network name stored in the UDM against the serving network name retrieved from the Nudm_UEAuthentication_Get Request message and the serving network name retrieved from the Nudm_UEAuthentication_ResultConfirmation Request message.</w:t>
      </w:r>
    </w:p>
    <w:p>
      <w:pPr>
        <w:pStyle w:val="B1"/>
        <w:rPr/>
      </w:pPr>
      <w:r>
        <w:rPr/>
        <w:t>6.</w:t>
        <w:tab/>
        <w:t>The tester shall compare the SUPI stored in the UDM (retrieved from the Nudm_UEAuthentication_ResultConfirmation Response message) against the SUPI retrieved from the Nudm_UEAuthentication_Get Response message.</w:t>
      </w:r>
    </w:p>
    <w:p>
      <w:pPr>
        <w:pStyle w:val="B1"/>
        <w:rPr/>
      </w:pPr>
      <w:r>
        <w:rPr/>
        <w:t>7.</w:t>
        <w:tab/>
        <w:t>The tester shall compare the timestamp stored in the UDM against the time of authentication procedure retrieved from the Nudm_UEAuthentication_ResultConfirmation Request message.</w:t>
      </w:r>
    </w:p>
    <w:p>
      <w:pPr>
        <w:pStyle w:val="Normal"/>
        <w:rPr>
          <w:b/>
        </w:rPr>
      </w:pPr>
      <w:r>
        <w:rPr>
          <w:b/>
        </w:rPr>
        <w:t>Expected Results:</w:t>
      </w:r>
    </w:p>
    <w:p>
      <w:pPr>
        <w:pStyle w:val="Normal"/>
        <w:rPr/>
      </w:pPr>
      <w:r>
        <w:rPr/>
        <w:t>The storing of authentication status (SUPI,  timestamp, and the serving network name) of UE at the UDM is verified.</w:t>
      </w:r>
    </w:p>
    <w:p>
      <w:pPr>
        <w:pStyle w:val="Normal"/>
        <w:rPr>
          <w:b/>
        </w:rPr>
      </w:pPr>
      <w:r>
        <w:rPr>
          <w:b/>
        </w:rPr>
        <w:t>Expected format of evidence:</w:t>
      </w:r>
    </w:p>
    <w:p>
      <w:pPr>
        <w:pStyle w:val="Normal"/>
        <w:rPr/>
      </w:pPr>
      <w:r>
        <w:rPr/>
        <w:t>Evidence suitable for the interface, e.g., evidence can be presented in the form of packet capture or screenshot/screen-capture.</w:t>
      </w:r>
    </w:p>
    <w:p>
      <w:pPr>
        <w:pStyle w:val="NO"/>
        <w:rPr/>
      </w:pPr>
      <w:r>
        <w:rPr/>
        <w:t>NOTE:</w:t>
        <w:tab/>
        <w:t>Void</w:t>
      </w:r>
    </w:p>
    <w:p>
      <w:pPr>
        <w:pStyle w:val="Heading3"/>
        <w:ind w:hanging="1134" w:left="1134"/>
        <w:rPr/>
      </w:pPr>
      <w:bookmarkStart w:id="41" w:name="__RefHeading___Toc153454915"/>
      <w:bookmarkEnd w:id="41"/>
      <w:r>
        <w:rPr/>
        <w:t>4.2.3</w:t>
        <w:tab/>
        <w:t>Technical Baseline</w:t>
      </w:r>
    </w:p>
    <w:p>
      <w:pPr>
        <w:pStyle w:val="Heading4"/>
        <w:rPr/>
      </w:pPr>
      <w:bookmarkStart w:id="42" w:name="__RefHeading___Toc153454916"/>
      <w:bookmarkEnd w:id="42"/>
      <w:r>
        <w:rPr/>
        <w:t>4.2.3.1</w:t>
        <w:tab/>
        <w:t>Introduction</w:t>
      </w:r>
    </w:p>
    <w:p>
      <w:pPr>
        <w:pStyle w:val="Normal"/>
        <w:rPr/>
      </w:pPr>
      <w:r>
        <w:rPr/>
        <w:t>The present clause provides baseline technical requirements.</w:t>
      </w:r>
    </w:p>
    <w:p>
      <w:pPr>
        <w:pStyle w:val="Heading4"/>
        <w:keepNext w:val="false"/>
        <w:keepLines w:val="false"/>
        <w:rPr/>
      </w:pPr>
      <w:bookmarkStart w:id="43" w:name="__RefHeading___Toc153454917"/>
      <w:bookmarkEnd w:id="43"/>
      <w:r>
        <w:rPr/>
        <w:t>4.2.3.2</w:t>
        <w:tab/>
        <w:t>Protecting</w:t>
      </w:r>
      <w:r>
        <w:rPr>
          <w:spacing w:val="-12"/>
        </w:rPr>
        <w:t xml:space="preserve"> </w:t>
      </w:r>
      <w:r>
        <w:rPr/>
        <w:t>data</w:t>
      </w:r>
      <w:r>
        <w:rPr>
          <w:spacing w:val="-5"/>
        </w:rPr>
        <w:t xml:space="preserve"> </w:t>
      </w:r>
      <w:r>
        <w:rPr/>
        <w:t>and</w:t>
      </w:r>
      <w:r>
        <w:rPr>
          <w:spacing w:val="-4"/>
        </w:rPr>
        <w:t xml:space="preserve"> </w:t>
      </w:r>
      <w:r>
        <w:rPr/>
        <w:t>information</w:t>
      </w:r>
    </w:p>
    <w:p>
      <w:pPr>
        <w:pStyle w:val="Heading5"/>
        <w:rPr/>
      </w:pPr>
      <w:bookmarkStart w:id="44" w:name="__RefHeading___Toc153454918"/>
      <w:bookmarkEnd w:id="44"/>
      <w:r>
        <w:rPr/>
        <w:t>4.2.3.2.1</w:t>
        <w:tab/>
        <w:t>Protecting</w:t>
      </w:r>
      <w:r>
        <w:rPr>
          <w:spacing w:val="-12"/>
        </w:rPr>
        <w:t xml:space="preserve"> </w:t>
      </w:r>
      <w:r>
        <w:rPr/>
        <w:t>data</w:t>
      </w:r>
      <w:r>
        <w:rPr>
          <w:spacing w:val="-5"/>
        </w:rPr>
        <w:t xml:space="preserve"> </w:t>
      </w:r>
      <w:r>
        <w:rPr/>
        <w:t>and</w:t>
      </w:r>
      <w:r>
        <w:rPr>
          <w:spacing w:val="-4"/>
        </w:rPr>
        <w:t xml:space="preserve"> </w:t>
      </w:r>
      <w:r>
        <w:rPr/>
        <w:t>information – general</w:t>
      </w:r>
    </w:p>
    <w:p>
      <w:pPr>
        <w:pStyle w:val="Normal"/>
        <w:rPr/>
      </w:pPr>
      <w:r>
        <w:rPr>
          <w:color w:val="000000"/>
        </w:rPr>
        <w:t xml:space="preserve">There are no UDM-specific additions to clause </w:t>
      </w:r>
      <w:r>
        <w:rPr>
          <w:color w:val="000000"/>
        </w:rPr>
        <w:t>4</w:t>
      </w:r>
      <w:r>
        <w:rPr>
          <w:color w:val="000000"/>
        </w:rPr>
        <w:t>.</w:t>
      </w:r>
      <w:r>
        <w:rPr>
          <w:color w:val="000000"/>
          <w:lang w:eastAsia="zh-CN"/>
        </w:rPr>
        <w:t>2</w:t>
      </w:r>
      <w:r>
        <w:rPr>
          <w:color w:val="000000"/>
        </w:rPr>
        <w:t>.3</w:t>
      </w:r>
      <w:r>
        <w:rPr>
          <w:color w:val="000000"/>
          <w:lang w:eastAsia="zh-CN"/>
        </w:rPr>
        <w:t>.2</w:t>
      </w:r>
      <w:r>
        <w:rPr>
          <w:color w:val="000000"/>
        </w:rPr>
        <w:t>.</w:t>
      </w:r>
      <w:r>
        <w:rPr>
          <w:color w:val="000000"/>
          <w:lang w:eastAsia="zh-CN"/>
        </w:rPr>
        <w:t>1</w:t>
      </w:r>
      <w:r>
        <w:rPr>
          <w:color w:val="000000"/>
        </w:rPr>
        <w:t xml:space="preserve"> of TS 33.117 [3].</w:t>
      </w:r>
    </w:p>
    <w:p>
      <w:pPr>
        <w:pStyle w:val="Heading5"/>
        <w:rPr/>
      </w:pPr>
      <w:bookmarkStart w:id="45" w:name="__RefHeading___Toc153454919"/>
      <w:bookmarkEnd w:id="45"/>
      <w:r>
        <w:rPr/>
        <w:t>4.2.3.2.2</w:t>
        <w:tab/>
        <w:t>Protecting</w:t>
      </w:r>
      <w:r>
        <w:rPr>
          <w:spacing w:val="-12"/>
        </w:rPr>
        <w:t xml:space="preserve"> </w:t>
      </w:r>
      <w:r>
        <w:rPr/>
        <w:t>data</w:t>
      </w:r>
      <w:r>
        <w:rPr>
          <w:spacing w:val="-5"/>
        </w:rPr>
        <w:t xml:space="preserve"> </w:t>
      </w:r>
      <w:r>
        <w:rPr/>
        <w:t>and</w:t>
      </w:r>
      <w:r>
        <w:rPr>
          <w:spacing w:val="-4"/>
        </w:rPr>
        <w:t xml:space="preserve"> </w:t>
      </w:r>
      <w:r>
        <w:rPr/>
        <w:t>information – unauthorized viewing</w:t>
      </w:r>
    </w:p>
    <w:p>
      <w:pPr>
        <w:pStyle w:val="Normal"/>
        <w:rPr/>
      </w:pPr>
      <w:r>
        <w:rPr/>
        <w:t xml:space="preserve">There are no UDM-specific additions to clause </w:t>
      </w:r>
      <w:r>
        <w:rPr/>
        <w:t>4</w:t>
      </w:r>
      <w:r>
        <w:rPr/>
        <w:t>.</w:t>
      </w:r>
      <w:r>
        <w:rPr/>
        <w:t>2</w:t>
      </w:r>
      <w:r>
        <w:rPr/>
        <w:t>.3</w:t>
      </w:r>
      <w:r>
        <w:rPr/>
        <w:t>.2</w:t>
      </w:r>
      <w:r>
        <w:rPr/>
        <w:t>.2 of TS 33.117 [3].</w:t>
      </w:r>
    </w:p>
    <w:p>
      <w:pPr>
        <w:pStyle w:val="Heading5"/>
        <w:rPr/>
      </w:pPr>
      <w:bookmarkStart w:id="46" w:name="__RefHeading___Toc153454920"/>
      <w:bookmarkEnd w:id="46"/>
      <w:r>
        <w:rPr/>
        <w:t>4.2.3.2.3</w:t>
        <w:tab/>
        <w:t>Protecting</w:t>
      </w:r>
      <w:r>
        <w:rPr>
          <w:spacing w:val="-12"/>
        </w:rPr>
        <w:t xml:space="preserve"> </w:t>
      </w:r>
      <w:r>
        <w:rPr/>
        <w:t>data</w:t>
      </w:r>
      <w:r>
        <w:rPr>
          <w:spacing w:val="-5"/>
        </w:rPr>
        <w:t xml:space="preserve"> </w:t>
      </w:r>
      <w:r>
        <w:rPr/>
        <w:t>and</w:t>
      </w:r>
      <w:r>
        <w:rPr>
          <w:spacing w:val="-4"/>
        </w:rPr>
        <w:t xml:space="preserve"> </w:t>
      </w:r>
      <w:r>
        <w:rPr/>
        <w:t>information in storage</w:t>
      </w:r>
    </w:p>
    <w:p>
      <w:pPr>
        <w:pStyle w:val="Normal"/>
        <w:rPr/>
      </w:pPr>
      <w:r>
        <w:rPr/>
        <w:t xml:space="preserve">There are no UDM-specific additions to clause </w:t>
      </w:r>
      <w:r>
        <w:rPr/>
        <w:t>4</w:t>
      </w:r>
      <w:r>
        <w:rPr/>
        <w:t>.</w:t>
      </w:r>
      <w:r>
        <w:rPr/>
        <w:t>2</w:t>
      </w:r>
      <w:r>
        <w:rPr/>
        <w:t>.3</w:t>
      </w:r>
      <w:r>
        <w:rPr/>
        <w:t>.2</w:t>
      </w:r>
      <w:r>
        <w:rPr/>
        <w:t>.3 of TS 33.117 [3].</w:t>
      </w:r>
    </w:p>
    <w:p>
      <w:pPr>
        <w:pStyle w:val="Heading5"/>
        <w:rPr/>
      </w:pPr>
      <w:bookmarkStart w:id="47" w:name="__RefHeading___Toc153454921"/>
      <w:bookmarkEnd w:id="47"/>
      <w:r>
        <w:rPr/>
        <w:t>4.2.3.2.4</w:t>
        <w:tab/>
        <w:t>Protecting</w:t>
      </w:r>
      <w:r>
        <w:rPr>
          <w:spacing w:val="-12"/>
        </w:rPr>
        <w:t xml:space="preserve"> </w:t>
      </w:r>
      <w:r>
        <w:rPr/>
        <w:t>data</w:t>
      </w:r>
      <w:r>
        <w:rPr>
          <w:spacing w:val="-5"/>
        </w:rPr>
        <w:t xml:space="preserve"> </w:t>
      </w:r>
      <w:r>
        <w:rPr/>
        <w:t>and</w:t>
      </w:r>
      <w:r>
        <w:rPr>
          <w:spacing w:val="-4"/>
        </w:rPr>
        <w:t xml:space="preserve"> </w:t>
      </w:r>
      <w:r>
        <w:rPr/>
        <w:t>information in transfer</w:t>
      </w:r>
    </w:p>
    <w:p>
      <w:pPr>
        <w:pStyle w:val="B1"/>
        <w:ind w:hanging="0" w:left="0" w:right="0"/>
        <w:rPr/>
      </w:pPr>
      <w:r>
        <w:rPr>
          <w:color w:val="000000"/>
        </w:rPr>
        <w:t xml:space="preserve">There are no UDM-specific additions to clause </w:t>
      </w:r>
      <w:r>
        <w:rPr>
          <w:color w:val="000000"/>
        </w:rPr>
        <w:t>4</w:t>
      </w:r>
      <w:r>
        <w:rPr>
          <w:color w:val="000000"/>
        </w:rPr>
        <w:t>.</w:t>
      </w:r>
      <w:r>
        <w:rPr>
          <w:color w:val="000000"/>
          <w:lang w:eastAsia="zh-CN"/>
        </w:rPr>
        <w:t>2</w:t>
      </w:r>
      <w:r>
        <w:rPr>
          <w:color w:val="000000"/>
        </w:rPr>
        <w:t>.3</w:t>
      </w:r>
      <w:r>
        <w:rPr>
          <w:color w:val="000000"/>
          <w:lang w:eastAsia="zh-CN"/>
        </w:rPr>
        <w:t>.2</w:t>
      </w:r>
      <w:r>
        <w:rPr>
          <w:color w:val="000000"/>
        </w:rPr>
        <w:t>.</w:t>
      </w:r>
      <w:r>
        <w:rPr>
          <w:color w:val="000000"/>
          <w:lang w:eastAsia="zh-CN"/>
        </w:rPr>
        <w:t>4</w:t>
      </w:r>
      <w:r>
        <w:rPr>
          <w:color w:val="000000"/>
        </w:rPr>
        <w:t xml:space="preserve"> of TS 33.117 [3].</w:t>
      </w:r>
    </w:p>
    <w:p>
      <w:pPr>
        <w:pStyle w:val="Heading5"/>
        <w:rPr/>
      </w:pPr>
      <w:bookmarkStart w:id="48" w:name="__RefHeading___Toc153454922"/>
      <w:bookmarkEnd w:id="48"/>
      <w:r>
        <w:rPr/>
        <w:t>4.2.3.2.5</w:t>
        <w:tab/>
        <w:t>Logging access to personal data</w:t>
      </w:r>
    </w:p>
    <w:p>
      <w:pPr>
        <w:pStyle w:val="Normal"/>
        <w:rPr>
          <w:lang w:eastAsia="zh-CN"/>
        </w:rPr>
      </w:pPr>
      <w:r>
        <w:rPr>
          <w:color w:val="000000"/>
        </w:rPr>
        <w:t xml:space="preserve">There are no UDM-specific additions to clause </w:t>
      </w:r>
      <w:r>
        <w:rPr>
          <w:color w:val="000000"/>
        </w:rPr>
        <w:t>4</w:t>
      </w:r>
      <w:r>
        <w:rPr>
          <w:color w:val="000000"/>
        </w:rPr>
        <w:t>.</w:t>
      </w:r>
      <w:r>
        <w:rPr>
          <w:color w:val="000000"/>
          <w:lang w:eastAsia="zh-CN"/>
        </w:rPr>
        <w:t>2</w:t>
      </w:r>
      <w:r>
        <w:rPr>
          <w:color w:val="000000"/>
        </w:rPr>
        <w:t>.3</w:t>
      </w:r>
      <w:r>
        <w:rPr>
          <w:color w:val="000000"/>
          <w:lang w:eastAsia="zh-CN"/>
        </w:rPr>
        <w:t>.2</w:t>
      </w:r>
      <w:r>
        <w:rPr>
          <w:color w:val="000000"/>
        </w:rPr>
        <w:t>.</w:t>
      </w:r>
      <w:r>
        <w:rPr>
          <w:color w:val="000000"/>
          <w:lang w:eastAsia="zh-CN"/>
        </w:rPr>
        <w:t>5</w:t>
      </w:r>
      <w:r>
        <w:rPr>
          <w:color w:val="000000"/>
        </w:rPr>
        <w:t xml:space="preserve"> of TS 33.117 [3].</w:t>
      </w:r>
    </w:p>
    <w:p>
      <w:pPr>
        <w:pStyle w:val="Heading4"/>
        <w:keepNext w:val="false"/>
        <w:keepLines w:val="false"/>
        <w:suppressLineNumbers/>
        <w:suppressAutoHyphens w:val="true"/>
        <w:rPr/>
      </w:pPr>
      <w:bookmarkStart w:id="49" w:name="__RefHeading___Toc153454923"/>
      <w:bookmarkEnd w:id="49"/>
      <w:r>
        <w:rPr/>
        <w:t>4.2.3.3</w:t>
        <w:tab/>
        <w:t>Protecting</w:t>
      </w:r>
      <w:r>
        <w:rPr>
          <w:spacing w:val="-12"/>
        </w:rPr>
        <w:t xml:space="preserve"> </w:t>
      </w:r>
      <w:r>
        <w:rPr/>
        <w:t>availability</w:t>
      </w:r>
      <w:r>
        <w:rPr>
          <w:spacing w:val="-12"/>
        </w:rPr>
        <w:t xml:space="preserve"> </w:t>
      </w:r>
      <w:r>
        <w:rPr/>
        <w:t>and</w:t>
      </w:r>
      <w:r>
        <w:rPr>
          <w:spacing w:val="-4"/>
        </w:rPr>
        <w:t xml:space="preserve"> </w:t>
      </w:r>
      <w:r>
        <w:rPr/>
        <w:t>integrity</w:t>
      </w:r>
    </w:p>
    <w:p>
      <w:pPr>
        <w:pStyle w:val="Normal"/>
        <w:rPr>
          <w:lang w:eastAsia="zh-CN"/>
        </w:rPr>
      </w:pPr>
      <w:r>
        <w:rPr>
          <w:color w:val="000000"/>
        </w:rPr>
        <w:t xml:space="preserve">There are no UDM-specific additions to clause </w:t>
      </w:r>
      <w:r>
        <w:rPr>
          <w:color w:val="000000"/>
        </w:rPr>
        <w:t>4</w:t>
      </w:r>
      <w:r>
        <w:rPr>
          <w:color w:val="000000"/>
        </w:rPr>
        <w:t>.</w:t>
      </w:r>
      <w:r>
        <w:rPr>
          <w:color w:val="000000"/>
          <w:lang w:eastAsia="zh-CN"/>
        </w:rPr>
        <w:t>2</w:t>
      </w:r>
      <w:r>
        <w:rPr>
          <w:color w:val="000000"/>
        </w:rPr>
        <w:t>.3</w:t>
      </w:r>
      <w:r>
        <w:rPr>
          <w:color w:val="000000"/>
          <w:lang w:eastAsia="zh-CN"/>
        </w:rPr>
        <w:t>.</w:t>
      </w:r>
      <w:r>
        <w:rPr>
          <w:color w:val="000000"/>
          <w:lang w:eastAsia="zh-CN"/>
        </w:rPr>
        <w:t>3</w:t>
      </w:r>
      <w:r>
        <w:rPr>
          <w:color w:val="000000"/>
        </w:rPr>
        <w:t xml:space="preserve"> of TS 33.117 [3].</w:t>
      </w:r>
    </w:p>
    <w:p>
      <w:pPr>
        <w:pStyle w:val="Heading4"/>
        <w:keepNext w:val="false"/>
        <w:keepLines w:val="false"/>
        <w:suppressLineNumbers/>
        <w:suppressAutoHyphens w:val="true"/>
        <w:rPr/>
      </w:pPr>
      <w:bookmarkStart w:id="50" w:name="__RefHeading___Toc153454924"/>
      <w:bookmarkEnd w:id="50"/>
      <w:r>
        <w:rPr/>
        <w:t>4.2.3.4</w:t>
        <w:tab/>
        <w:t>Authentication</w:t>
      </w:r>
      <w:r>
        <w:rPr>
          <w:spacing w:val="-17"/>
        </w:rPr>
        <w:t xml:space="preserve"> </w:t>
      </w:r>
      <w:r>
        <w:rPr/>
        <w:t>and</w:t>
      </w:r>
      <w:r>
        <w:rPr>
          <w:spacing w:val="-4"/>
        </w:rPr>
        <w:t xml:space="preserve"> </w:t>
      </w:r>
      <w:r>
        <w:rPr/>
        <w:t>authorization</w:t>
      </w:r>
    </w:p>
    <w:p>
      <w:pPr>
        <w:pStyle w:val="Normal"/>
        <w:rPr/>
      </w:pPr>
      <w:r>
        <w:rPr>
          <w:lang w:eastAsia="zh-CN"/>
        </w:rPr>
        <w:t xml:space="preserve"> </w:t>
      </w:r>
      <w:r>
        <w:rPr>
          <w:color w:val="000000"/>
        </w:rPr>
        <w:t xml:space="preserve">There are no UDM-specific additions to clause </w:t>
      </w:r>
      <w:r>
        <w:rPr>
          <w:color w:val="000000"/>
        </w:rPr>
        <w:t>4</w:t>
      </w:r>
      <w:r>
        <w:rPr>
          <w:color w:val="000000"/>
        </w:rPr>
        <w:t>.</w:t>
      </w:r>
      <w:r>
        <w:rPr>
          <w:color w:val="000000"/>
        </w:rPr>
        <w:t>2</w:t>
      </w:r>
      <w:r>
        <w:rPr>
          <w:color w:val="000000"/>
        </w:rPr>
        <w:t>.3</w:t>
      </w:r>
      <w:r>
        <w:rPr>
          <w:color w:val="000000"/>
        </w:rPr>
        <w:t>.</w:t>
      </w:r>
      <w:r>
        <w:rPr>
          <w:color w:val="000000"/>
        </w:rPr>
        <w:t>4 of TS 33.117 [3].</w:t>
      </w:r>
    </w:p>
    <w:p>
      <w:pPr>
        <w:pStyle w:val="Heading4"/>
        <w:keepNext w:val="false"/>
        <w:keepLines w:val="false"/>
        <w:suppressLineNumbers/>
        <w:suppressAutoHyphens w:val="true"/>
        <w:rPr/>
      </w:pPr>
      <w:bookmarkStart w:id="51" w:name="__RefHeading___Toc153454925"/>
      <w:bookmarkEnd w:id="51"/>
      <w:r>
        <w:rPr/>
        <w:t>4.2.3.5</w:t>
        <w:tab/>
        <w:t>Protecting</w:t>
      </w:r>
      <w:r>
        <w:rPr>
          <w:spacing w:val="-12"/>
        </w:rPr>
        <w:t xml:space="preserve"> </w:t>
      </w:r>
      <w:r>
        <w:rPr/>
        <w:t>sessions</w:t>
      </w:r>
    </w:p>
    <w:p>
      <w:pPr>
        <w:pStyle w:val="Normal"/>
        <w:rPr/>
      </w:pPr>
      <w:r>
        <w:rPr>
          <w:lang w:eastAsia="zh-CN"/>
        </w:rPr>
        <w:t xml:space="preserve"> </w:t>
      </w:r>
      <w:r>
        <w:rPr>
          <w:color w:val="000000"/>
        </w:rPr>
        <w:t xml:space="preserve">There are no UDM-specific additions to clause </w:t>
      </w:r>
      <w:r>
        <w:rPr>
          <w:color w:val="000000"/>
        </w:rPr>
        <w:t>4</w:t>
      </w:r>
      <w:r>
        <w:rPr>
          <w:color w:val="000000"/>
        </w:rPr>
        <w:t>.</w:t>
      </w:r>
      <w:r>
        <w:rPr>
          <w:color w:val="000000"/>
        </w:rPr>
        <w:t>2</w:t>
      </w:r>
      <w:r>
        <w:rPr>
          <w:color w:val="000000"/>
        </w:rPr>
        <w:t>.3</w:t>
      </w:r>
      <w:r>
        <w:rPr>
          <w:color w:val="000000"/>
        </w:rPr>
        <w:t>.</w:t>
      </w:r>
      <w:r>
        <w:rPr>
          <w:color w:val="000000"/>
        </w:rPr>
        <w:t>5 of TS 33.117 [3].</w:t>
      </w:r>
    </w:p>
    <w:p>
      <w:pPr>
        <w:pStyle w:val="Heading4"/>
        <w:keepNext w:val="false"/>
        <w:keepLines w:val="false"/>
        <w:suppressLineNumbers/>
        <w:suppressAutoHyphens w:val="true"/>
        <w:rPr/>
      </w:pPr>
      <w:bookmarkStart w:id="52" w:name="__RefHeading___Toc153454926"/>
      <w:bookmarkEnd w:id="52"/>
      <w:r>
        <w:rPr/>
        <w:t>4.2.3.6</w:t>
        <w:tab/>
        <w:t>Logging</w:t>
      </w:r>
    </w:p>
    <w:p>
      <w:pPr>
        <w:pStyle w:val="Normal"/>
        <w:rPr>
          <w:lang w:eastAsia="zh-CN"/>
        </w:rPr>
      </w:pPr>
      <w:r>
        <w:rPr>
          <w:lang w:eastAsia="zh-CN"/>
        </w:rPr>
        <w:t xml:space="preserve"> </w:t>
      </w:r>
      <w:r>
        <w:rPr>
          <w:color w:val="000000"/>
        </w:rPr>
        <w:t xml:space="preserve">There are no UDM-specific additions to clause </w:t>
      </w:r>
      <w:r>
        <w:rPr>
          <w:color w:val="000000"/>
        </w:rPr>
        <w:t>4</w:t>
      </w:r>
      <w:r>
        <w:rPr>
          <w:color w:val="000000"/>
        </w:rPr>
        <w:t>.</w:t>
      </w:r>
      <w:r>
        <w:rPr>
          <w:color w:val="000000"/>
          <w:lang w:eastAsia="zh-CN"/>
        </w:rPr>
        <w:t>2</w:t>
      </w:r>
      <w:r>
        <w:rPr>
          <w:color w:val="000000"/>
        </w:rPr>
        <w:t>.3</w:t>
      </w:r>
      <w:r>
        <w:rPr>
          <w:color w:val="000000"/>
          <w:lang w:eastAsia="zh-CN"/>
        </w:rPr>
        <w:t>.</w:t>
      </w:r>
      <w:r>
        <w:rPr>
          <w:color w:val="000000"/>
          <w:lang w:eastAsia="zh-CN"/>
        </w:rPr>
        <w:t>6</w:t>
      </w:r>
      <w:r>
        <w:rPr>
          <w:color w:val="000000"/>
        </w:rPr>
        <w:t xml:space="preserve"> of TS 33.117 [3].</w:t>
      </w:r>
      <w:r>
        <w:rPr>
          <w:lang w:eastAsia="zh-CN"/>
        </w:rPr>
        <w:t xml:space="preserve"> </w:t>
      </w:r>
    </w:p>
    <w:p>
      <w:pPr>
        <w:pStyle w:val="Heading3"/>
        <w:keepNext w:val="false"/>
        <w:keepLines w:val="false"/>
        <w:suppressLineNumbers/>
        <w:suppressAutoHyphens w:val="true"/>
        <w:ind w:hanging="1134" w:left="1134"/>
        <w:rPr/>
      </w:pPr>
      <w:bookmarkStart w:id="53" w:name="__RefHeading___Toc153454927"/>
      <w:bookmarkEnd w:id="53"/>
      <w:r>
        <w:rPr/>
        <w:t>4.2.4</w:t>
        <w:tab/>
        <w:t>Operating Systems</w:t>
      </w:r>
    </w:p>
    <w:p>
      <w:pPr>
        <w:pStyle w:val="Normal"/>
        <w:rPr>
          <w:lang w:eastAsia="zh-CN"/>
        </w:rPr>
      </w:pPr>
      <w:r>
        <w:rPr>
          <w:color w:val="000000"/>
        </w:rPr>
        <w:t xml:space="preserve">There are no UDM-specific additions to clause </w:t>
      </w:r>
      <w:r>
        <w:rPr>
          <w:color w:val="000000"/>
        </w:rPr>
        <w:t>4</w:t>
      </w:r>
      <w:r>
        <w:rPr>
          <w:color w:val="000000"/>
        </w:rPr>
        <w:t>.</w:t>
      </w:r>
      <w:r>
        <w:rPr>
          <w:color w:val="000000"/>
          <w:lang w:eastAsia="zh-CN"/>
        </w:rPr>
        <w:t>2</w:t>
      </w:r>
      <w:r>
        <w:rPr>
          <w:color w:val="000000"/>
        </w:rPr>
        <w:t>.4 of TS 33.117 [3].</w:t>
      </w:r>
      <w:r>
        <w:rPr>
          <w:lang w:eastAsia="zh-CN"/>
        </w:rPr>
        <w:t xml:space="preserve"> </w:t>
      </w:r>
    </w:p>
    <w:p>
      <w:pPr>
        <w:pStyle w:val="Heading3"/>
        <w:keepNext w:val="false"/>
        <w:keepLines w:val="false"/>
        <w:suppressLineNumbers/>
        <w:suppressAutoHyphens w:val="true"/>
        <w:ind w:hanging="1134" w:left="1134"/>
        <w:rPr/>
      </w:pPr>
      <w:bookmarkStart w:id="54" w:name="__RefHeading___Toc153454928"/>
      <w:bookmarkEnd w:id="54"/>
      <w:r>
        <w:rPr/>
        <w:t>4.2.5</w:t>
        <w:tab/>
        <w:t>Web Servers</w:t>
      </w:r>
    </w:p>
    <w:p>
      <w:pPr>
        <w:pStyle w:val="Normal"/>
        <w:rPr>
          <w:lang w:eastAsia="zh-CN"/>
        </w:rPr>
      </w:pPr>
      <w:r>
        <w:rPr>
          <w:lang w:eastAsia="zh-CN"/>
        </w:rPr>
        <w:t xml:space="preserve"> </w:t>
      </w:r>
      <w:r>
        <w:rPr>
          <w:color w:val="000000"/>
        </w:rPr>
        <w:t xml:space="preserve">There are no UDM-specific additions to clause </w:t>
      </w:r>
      <w:r>
        <w:rPr>
          <w:color w:val="000000"/>
        </w:rPr>
        <w:t>4</w:t>
      </w:r>
      <w:r>
        <w:rPr>
          <w:color w:val="000000"/>
        </w:rPr>
        <w:t>.</w:t>
      </w:r>
      <w:r>
        <w:rPr>
          <w:color w:val="000000"/>
          <w:lang w:eastAsia="zh-CN"/>
        </w:rPr>
        <w:t>2</w:t>
      </w:r>
      <w:r>
        <w:rPr>
          <w:color w:val="000000"/>
        </w:rPr>
        <w:t>.5 of TS 33.117 [3].</w:t>
      </w:r>
    </w:p>
    <w:p>
      <w:pPr>
        <w:pStyle w:val="Heading3"/>
        <w:keepNext w:val="false"/>
        <w:keepLines w:val="false"/>
        <w:suppressLineNumbers/>
        <w:suppressAutoHyphens w:val="true"/>
        <w:ind w:hanging="1134" w:left="1134"/>
        <w:rPr/>
      </w:pPr>
      <w:bookmarkStart w:id="55" w:name="__RefHeading___Toc153454929"/>
      <w:bookmarkEnd w:id="55"/>
      <w:r>
        <w:rPr/>
        <w:t>4.2.6</w:t>
        <w:tab/>
        <w:t>Network Devices</w:t>
      </w:r>
    </w:p>
    <w:p>
      <w:pPr>
        <w:pStyle w:val="Normal"/>
        <w:rPr>
          <w:lang w:eastAsia="zh-CN"/>
        </w:rPr>
      </w:pPr>
      <w:r>
        <w:rPr>
          <w:color w:val="000000"/>
        </w:rPr>
        <w:t xml:space="preserve">There are no UDM-specific additions to clause </w:t>
      </w:r>
      <w:r>
        <w:rPr>
          <w:color w:val="000000"/>
        </w:rPr>
        <w:t>4</w:t>
      </w:r>
      <w:r>
        <w:rPr>
          <w:color w:val="000000"/>
        </w:rPr>
        <w:t>.</w:t>
      </w:r>
      <w:r>
        <w:rPr>
          <w:color w:val="000000"/>
          <w:lang w:eastAsia="zh-CN"/>
        </w:rPr>
        <w:t>2</w:t>
      </w:r>
      <w:r>
        <w:rPr>
          <w:color w:val="000000"/>
        </w:rPr>
        <w:t>.6 of TS 33.117 [3].</w:t>
      </w:r>
      <w:r>
        <w:rPr>
          <w:lang w:eastAsia="zh-CN"/>
        </w:rPr>
        <w:t xml:space="preserve"> </w:t>
      </w:r>
    </w:p>
    <w:p>
      <w:pPr>
        <w:pStyle w:val="Heading3"/>
        <w:ind w:hanging="1134" w:left="1134"/>
        <w:rPr/>
      </w:pPr>
      <w:bookmarkStart w:id="56" w:name="__RefHeading___Toc153454930"/>
      <w:bookmarkEnd w:id="56"/>
      <w:r>
        <w:rPr/>
        <w:t>4.2.7</w:t>
        <w:tab/>
        <w:t>User plane security procedures</w:t>
      </w:r>
    </w:p>
    <w:p>
      <w:pPr>
        <w:pStyle w:val="Heading4"/>
        <w:rPr/>
      </w:pPr>
      <w:bookmarkStart w:id="57" w:name="__RefHeading___Toc153454931"/>
      <w:bookmarkEnd w:id="57"/>
      <w:r>
        <w:rPr/>
        <w:t>4.2.7.1</w:t>
        <w:tab/>
        <w:t>UP Security enforcement configuration for TSC service</w:t>
      </w:r>
    </w:p>
    <w:p>
      <w:pPr>
        <w:pStyle w:val="Normal"/>
        <w:rPr>
          <w:lang w:eastAsia="zh-CN"/>
        </w:rPr>
      </w:pPr>
      <w:r>
        <w:rPr>
          <w:i/>
        </w:rPr>
        <w:t>Requirement Name</w:t>
      </w:r>
      <w:r>
        <w:rPr/>
        <w:t>: UP security enforcement configuration</w:t>
      </w:r>
    </w:p>
    <w:p>
      <w:pPr>
        <w:pStyle w:val="Normal"/>
        <w:rPr/>
      </w:pPr>
      <w:r>
        <w:rPr>
          <w:i/>
        </w:rPr>
        <w:t xml:space="preserve">Requirement Reference: </w:t>
      </w:r>
      <w:r>
        <w:rPr/>
        <w:t>TS 33.501 [2], clause L.3, TS 23.501 [5], clause 5.10.3.</w:t>
      </w:r>
    </w:p>
    <w:p>
      <w:pPr>
        <w:pStyle w:val="Normal"/>
        <w:rPr/>
      </w:pPr>
      <w:r>
        <w:rPr>
          <w:i/>
        </w:rPr>
        <w:t>Requirement Description</w:t>
      </w:r>
      <w:r>
        <w:rPr/>
        <w:t xml:space="preserve">: </w:t>
      </w:r>
    </w:p>
    <w:p>
      <w:pPr>
        <w:pStyle w:val="Normal"/>
        <w:rPr/>
      </w:pPr>
      <w:r>
        <w:rPr/>
        <w:t xml:space="preserve">"After the 5GS TSC-enabled UE is authenticated and data connection is set up, any data received from a TSC bridge or another 5GS TSC-enabled UE shall be transported between DS-TT (in the UE) and NW-TT (in the UPF) in a protected way using the mechanisms for UP security as described in clause 6.6. </w:t>
      </w:r>
    </w:p>
    <w:p>
      <w:pPr>
        <w:pStyle w:val="Normal"/>
        <w:rPr/>
      </w:pPr>
      <w:r>
        <w:rPr/>
        <w:t>The UP security enforcement information shall be set to "required" for data transferred from gNB to a 5GS TSC-enabled UE. This is also applicable to the gPTP messages sent in the user plane."</w:t>
      </w:r>
    </w:p>
    <w:p>
      <w:pPr>
        <w:pStyle w:val="Normal"/>
        <w:rPr/>
      </w:pPr>
      <w:r>
        <w:rPr>
          <w:lang w:eastAsia="zh-CN"/>
        </w:rPr>
        <w:t xml:space="preserve">as specified in </w:t>
      </w:r>
      <w:r>
        <w:rPr/>
        <w:t>TS 33.501 [2], clause L.3.</w:t>
      </w:r>
    </w:p>
    <w:p>
      <w:pPr>
        <w:pStyle w:val="Normal"/>
        <w:rPr/>
      </w:pPr>
      <w:r>
        <w:rPr/>
        <w:t>"The SMF determines at PDU session establishment a User Plane Security Enforcement information for the user plane of a PDU session based on:</w:t>
      </w:r>
    </w:p>
    <w:p>
      <w:pPr>
        <w:pStyle w:val="B1"/>
        <w:rPr/>
      </w:pPr>
      <w:r>
        <w:rPr/>
        <w:t>-</w:t>
        <w:tab/>
        <w:t>subscribed User Plane Security Policy which is part of SM subscription information received from UDM; and</w:t>
      </w:r>
    </w:p>
    <w:p>
      <w:pPr>
        <w:pStyle w:val="B1"/>
        <w:rPr/>
      </w:pPr>
      <w:r>
        <w:rPr/>
        <w:t>-</w:t>
        <w:tab/>
        <w:t>User Plane Security Policy locally configured per (DNN, S-NSSAI) in the SMF that is used when the UDM does not provide User Plane Security Policy information.</w:t>
      </w:r>
    </w:p>
    <w:p>
      <w:pPr>
        <w:pStyle w:val="B1"/>
        <w:rPr/>
      </w:pPr>
      <w:r>
        <w:rPr/>
        <w:t>-</w:t>
        <w:tab/>
        <w:t>The maximum supported data rate per UE for integrity protection for the DRBs, provided by the UE in the Integrity protection maximum data rate IE during PDU Session Establishment. The UE supporting NR as primary RAT, i.e. NG-RAN access via Standalone NR, shall set the Integrity protection maximum data rate IE for Uplink and Downlink to full rate at PDU Session Establishment as defined in TS 24.501 [47]."</w:t>
      </w:r>
    </w:p>
    <w:p>
      <w:pPr>
        <w:pStyle w:val="Normal"/>
        <w:rPr/>
      </w:pPr>
      <w:r>
        <w:rPr>
          <w:lang w:eastAsia="zh-CN"/>
        </w:rPr>
        <w:t xml:space="preserve">as specified in </w:t>
      </w:r>
      <w:r>
        <w:rPr/>
        <w:t>TS 23.501 [5], clause 5.10.3.</w:t>
      </w:r>
    </w:p>
    <w:p>
      <w:pPr>
        <w:pStyle w:val="Normal"/>
        <w:rPr/>
      </w:pPr>
      <w:r>
        <w:rPr>
          <w:i/>
        </w:rPr>
        <w:t>Threat References</w:t>
      </w:r>
      <w:r>
        <w:rPr/>
        <w:t>: TR 33.926 [4].</w:t>
      </w:r>
    </w:p>
    <w:p>
      <w:pPr>
        <w:pStyle w:val="NO"/>
        <w:rPr/>
      </w:pPr>
      <w:r>
        <w:rPr>
          <w:lang w:eastAsia="zh-CN"/>
        </w:rPr>
        <w:t>NOTE:</w:t>
        <w:tab/>
        <w:t xml:space="preserve">The test case below only applies to the UDMs which support the setting and providing of User Plane Security Policy for dedicated TSC service. </w:t>
      </w:r>
    </w:p>
    <w:p>
      <w:pPr>
        <w:pStyle w:val="Normal"/>
        <w:rPr/>
      </w:pPr>
      <w:r>
        <w:rPr>
          <w:i/>
        </w:rPr>
        <w:t>Test Case</w:t>
      </w:r>
      <w:r>
        <w:rPr/>
        <w:t>:</w:t>
      </w:r>
    </w:p>
    <w:p>
      <w:pPr>
        <w:pStyle w:val="Normal"/>
        <w:rPr>
          <w:b/>
          <w:lang w:eastAsia="zh-CN"/>
        </w:rPr>
      </w:pPr>
      <w:r>
        <w:rPr/>
        <w:t xml:space="preserve">Test Name: TC_UP_SECURITY_ENFORCEMENT_CONFIGURATION </w:t>
      </w:r>
    </w:p>
    <w:p>
      <w:pPr>
        <w:pStyle w:val="Normal"/>
        <w:rPr>
          <w:b/>
          <w:lang w:eastAsia="zh-CN"/>
        </w:rPr>
      </w:pPr>
      <w:r>
        <w:rPr>
          <w:b/>
          <w:lang w:eastAsia="zh-CN"/>
        </w:rPr>
        <w:t>Purpose:</w:t>
      </w:r>
    </w:p>
    <w:p>
      <w:pPr>
        <w:pStyle w:val="Normal"/>
        <w:rPr/>
      </w:pPr>
      <w:r>
        <w:rPr>
          <w:lang w:eastAsia="zh-CN"/>
        </w:rPr>
        <w:t xml:space="preserve">Verify that </w:t>
      </w:r>
      <w:r>
        <w:rPr/>
        <w:t>UP security enforcement information is set to "required" for dedicated TSC service</w:t>
      </w:r>
      <w:r>
        <w:rPr>
          <w:lang w:eastAsia="zh-CN"/>
        </w:rPr>
        <w:t xml:space="preserve">. </w:t>
      </w:r>
    </w:p>
    <w:p>
      <w:pPr>
        <w:pStyle w:val="Normal"/>
        <w:rPr>
          <w:b/>
          <w:lang w:eastAsia="zh-CN"/>
        </w:rPr>
      </w:pPr>
      <w:r>
        <w:rPr>
          <w:b/>
          <w:lang w:eastAsia="zh-CN"/>
        </w:rPr>
        <w:t>Pre-Conditions:</w:t>
      </w:r>
    </w:p>
    <w:p>
      <w:pPr>
        <w:pStyle w:val="Normal"/>
        <w:rPr>
          <w:lang w:eastAsia="zh-CN"/>
        </w:rPr>
      </w:pPr>
      <w:r>
        <w:rPr>
          <w:lang w:eastAsia="zh-CN"/>
        </w:rPr>
        <w:t xml:space="preserve">Test environment with SMF. The SMF may be simulated. </w:t>
      </w:r>
    </w:p>
    <w:p>
      <w:pPr>
        <w:pStyle w:val="Normal"/>
        <w:rPr/>
      </w:pPr>
      <w:r>
        <w:rPr>
          <w:lang w:eastAsia="zh-CN"/>
        </w:rPr>
        <w:t>A dedicated DNN/S-NSSAI combination is defined to identify the TSC service.</w:t>
      </w:r>
    </w:p>
    <w:p>
      <w:pPr>
        <w:pStyle w:val="Normal"/>
        <w:rPr>
          <w:lang w:eastAsia="zh-CN"/>
        </w:rPr>
      </w:pPr>
      <w:r>
        <w:rPr>
          <w:lang w:eastAsia="zh-CN"/>
        </w:rPr>
        <w:t>The security policy is configured in the UDM.</w:t>
      </w:r>
    </w:p>
    <w:p>
      <w:pPr>
        <w:pStyle w:val="Normal"/>
        <w:rPr>
          <w:b/>
          <w:lang w:eastAsia="zh-CN"/>
        </w:rPr>
      </w:pPr>
      <w:r>
        <w:rPr>
          <w:b/>
          <w:lang w:eastAsia="zh-CN"/>
        </w:rPr>
        <w:t>Execution Steps</w:t>
      </w:r>
    </w:p>
    <w:p>
      <w:pPr>
        <w:pStyle w:val="B1"/>
        <w:rPr/>
      </w:pPr>
      <w:r>
        <w:rPr>
          <w:lang w:eastAsia="zh-CN"/>
        </w:rPr>
        <w:t>1.</w:t>
        <w:tab/>
        <w:t xml:space="preserve">During the PDU session establishment procedure, the SMF sends </w:t>
      </w:r>
      <w:r>
        <w:rPr/>
        <w:t xml:space="preserve">a Nudm_SDM_Get Request message to the UDM under test with a </w:t>
      </w:r>
      <w:r>
        <w:rPr>
          <w:lang w:eastAsia="zh-CN"/>
        </w:rPr>
        <w:t>dedicated DNN/S-NSSAI combination.</w:t>
      </w:r>
    </w:p>
    <w:p>
      <w:pPr>
        <w:pStyle w:val="B1"/>
        <w:rPr>
          <w:lang w:eastAsia="zh-CN"/>
        </w:rPr>
      </w:pPr>
      <w:r>
        <w:rPr>
          <w:lang w:eastAsia="zh-CN"/>
        </w:rPr>
        <w:t>2.</w:t>
        <w:tab/>
        <w:t xml:space="preserve">The UDM under test sends the </w:t>
      </w:r>
      <w:r>
        <w:rPr/>
        <w:t>Nudm_SDM_Get Response back to the SMF with UP security enforcement information.</w:t>
      </w:r>
    </w:p>
    <w:p>
      <w:pPr>
        <w:pStyle w:val="Normal"/>
        <w:rPr>
          <w:b/>
          <w:lang w:eastAsia="zh-CN"/>
        </w:rPr>
      </w:pPr>
      <w:r>
        <w:rPr>
          <w:b/>
          <w:lang w:eastAsia="zh-CN"/>
        </w:rPr>
        <w:t>Expected Results:</w:t>
      </w:r>
    </w:p>
    <w:p>
      <w:pPr>
        <w:pStyle w:val="Normal"/>
        <w:rPr/>
      </w:pPr>
      <w:r>
        <w:rPr/>
        <w:t>The confidentiality and integrity protection requirements of the UP security enforcement information are set to "required".</w:t>
      </w:r>
    </w:p>
    <w:p>
      <w:pPr>
        <w:pStyle w:val="Normal"/>
        <w:rPr/>
      </w:pPr>
      <w:r>
        <w:rPr>
          <w:rFonts w:cs="Arial"/>
          <w:b/>
          <w:color w:val="000000"/>
        </w:rPr>
        <w:t>Expected format of evidence:</w:t>
      </w:r>
    </w:p>
    <w:p>
      <w:pPr>
        <w:pStyle w:val="Normal"/>
        <w:rPr/>
      </w:pPr>
      <w:r>
        <w:rPr/>
        <w:t>Save the logs and the communication flow in a .pcap file.</w:t>
      </w:r>
    </w:p>
    <w:p>
      <w:pPr>
        <w:pStyle w:val="Heading3"/>
        <w:ind w:hanging="1134" w:left="1134"/>
        <w:rPr/>
      </w:pPr>
      <w:bookmarkStart w:id="58" w:name="__RefHeading___Toc153454932"/>
      <w:bookmarkEnd w:id="58"/>
      <w:r>
        <w:rPr/>
        <w:t>4.2.8</w:t>
        <w:tab/>
        <w:t>User plane security procedures</w:t>
      </w:r>
    </w:p>
    <w:p>
      <w:pPr>
        <w:pStyle w:val="Heading4"/>
        <w:rPr/>
      </w:pPr>
      <w:bookmarkStart w:id="59" w:name="__RefHeading___Toc153454933"/>
      <w:bookmarkEnd w:id="59"/>
      <w:r>
        <w:rPr/>
        <w:t>4.2.8.1</w:t>
        <w:tab/>
        <w:t>UP security policy configuration for 5G LAN service</w:t>
      </w:r>
    </w:p>
    <w:p>
      <w:pPr>
        <w:pStyle w:val="Normal"/>
        <w:rPr>
          <w:lang w:eastAsia="zh-CN"/>
        </w:rPr>
      </w:pPr>
      <w:r>
        <w:rPr>
          <w:i/>
        </w:rPr>
        <w:t>Requirement Name</w:t>
      </w:r>
      <w:r>
        <w:rPr/>
        <w:t>: UP security enforcement configuration</w:t>
      </w:r>
    </w:p>
    <w:p>
      <w:pPr>
        <w:pStyle w:val="Normal"/>
        <w:rPr/>
      </w:pPr>
      <w:r>
        <w:rPr>
          <w:i/>
        </w:rPr>
        <w:t xml:space="preserve">Requirement Reference: </w:t>
      </w:r>
      <w:r>
        <w:rPr/>
        <w:t>TS 33.501 [2], clause K.3, TS 23.501 [5], clause 5.10.3.</w:t>
      </w:r>
    </w:p>
    <w:p>
      <w:pPr>
        <w:pStyle w:val="Normal"/>
        <w:rPr/>
      </w:pPr>
      <w:r>
        <w:rPr>
          <w:i/>
        </w:rPr>
        <w:t>Requirement Description</w:t>
      </w:r>
      <w:r>
        <w:rPr/>
        <w:t xml:space="preserve">: "To reduce incremental complexity added by security, </w:t>
      </w:r>
      <w:r>
        <w:rPr>
          <w:lang w:val="en-US"/>
        </w:rPr>
        <w:t xml:space="preserve">all PDU sessions associated with a specific 5G LAN group should have the same UP security policy. </w:t>
      </w:r>
      <w:r>
        <w:rPr/>
        <w:t>When generating the policy enforcement information, and to avoid the redundant double protection, the SMF may consider information by a DN-AAA about DN protection mechanisms already applied."</w:t>
      </w:r>
    </w:p>
    <w:p>
      <w:pPr>
        <w:pStyle w:val="Normal"/>
        <w:rPr/>
      </w:pPr>
      <w:r>
        <w:rPr>
          <w:lang w:eastAsia="zh-CN"/>
        </w:rPr>
        <w:t xml:space="preserve">as specified in </w:t>
      </w:r>
      <w:r>
        <w:rPr/>
        <w:t>TS 33.501 [2], clause K.3.</w:t>
      </w:r>
    </w:p>
    <w:p>
      <w:pPr>
        <w:pStyle w:val="Normal"/>
        <w:rPr/>
      </w:pPr>
      <w:r>
        <w:rPr/>
        <w:t>"The SMF determines at PDU session establishment a User Plane Security Enforcement information for the user plane of a PDU session based on:</w:t>
      </w:r>
    </w:p>
    <w:p>
      <w:pPr>
        <w:pStyle w:val="B1"/>
        <w:rPr/>
      </w:pPr>
      <w:r>
        <w:rPr/>
        <w:t>-</w:t>
        <w:tab/>
        <w:t>subscribed User Plane Security Policy which is part of SM subscription information received from UDM; and</w:t>
      </w:r>
    </w:p>
    <w:p>
      <w:pPr>
        <w:pStyle w:val="B1"/>
        <w:rPr/>
      </w:pPr>
      <w:r>
        <w:rPr/>
        <w:t>-</w:t>
        <w:tab/>
        <w:t>User Plane Security Policy locally configured per (DNN, S-NSSAI) in the SMF that is used when the UDM does not provide User Plane Security Policy information.</w:t>
      </w:r>
    </w:p>
    <w:p>
      <w:pPr>
        <w:pStyle w:val="B1"/>
        <w:rPr/>
      </w:pPr>
      <w:r>
        <w:rPr/>
        <w:t>-</w:t>
        <w:tab/>
        <w:t>The maximum supported data rate per UE for integrity protection for the DRBs, provided by the UE in the Integrity protection maximum data rate IE during PDU Session Establishment. The UE supporting NR as primary RAT, i.e. NG-RAN access via Standalone NR, shall set the Integrity protection maximum data rate IE for Uplink and Downlink to full rate at PDU Session Establishment as defined in TS 24.501 [47]."</w:t>
      </w:r>
    </w:p>
    <w:p>
      <w:pPr>
        <w:pStyle w:val="Normal"/>
        <w:rPr/>
      </w:pPr>
      <w:r>
        <w:rPr>
          <w:lang w:eastAsia="zh-CN"/>
        </w:rPr>
        <w:t xml:space="preserve">as specified in </w:t>
      </w:r>
      <w:r>
        <w:rPr/>
        <w:t>TS 23.501 [5], clause 5.10.3.</w:t>
      </w:r>
    </w:p>
    <w:p>
      <w:pPr>
        <w:pStyle w:val="Normal"/>
        <w:rPr/>
      </w:pPr>
      <w:r>
        <w:rPr>
          <w:i/>
        </w:rPr>
        <w:t>Threat References</w:t>
      </w:r>
      <w:r>
        <w:rPr/>
        <w:t>: TR 33.926 [4].</w:t>
      </w:r>
    </w:p>
    <w:p>
      <w:pPr>
        <w:pStyle w:val="NO"/>
        <w:rPr/>
      </w:pPr>
      <w:r>
        <w:rPr>
          <w:lang w:eastAsia="zh-CN"/>
        </w:rPr>
        <w:t>NOTE 1:</w:t>
        <w:tab/>
        <w:t xml:space="preserve">The test case below only applies to the UDMs which support the setting and providing of User Plane Security Policy for 5G LAN service. </w:t>
      </w:r>
    </w:p>
    <w:p>
      <w:pPr>
        <w:pStyle w:val="Normal"/>
        <w:rPr/>
      </w:pPr>
      <w:r>
        <w:rPr>
          <w:i/>
        </w:rPr>
        <w:t>Test Case</w:t>
      </w:r>
      <w:r>
        <w:rPr/>
        <w:t xml:space="preserve">: </w:t>
      </w:r>
    </w:p>
    <w:p>
      <w:pPr>
        <w:pStyle w:val="Normal"/>
        <w:rPr>
          <w:b/>
          <w:lang w:eastAsia="zh-CN"/>
        </w:rPr>
      </w:pPr>
      <w:r>
        <w:rPr/>
        <w:t>Test Name: TC_UP_SECURITY_ENFORCEMENT_CONFIGURATION_FOR_5G_LAN</w:t>
      </w:r>
    </w:p>
    <w:p>
      <w:pPr>
        <w:pStyle w:val="Normal"/>
        <w:rPr>
          <w:b/>
          <w:lang w:eastAsia="zh-CN"/>
        </w:rPr>
      </w:pPr>
      <w:r>
        <w:rPr>
          <w:b/>
          <w:lang w:eastAsia="zh-CN"/>
        </w:rPr>
        <w:t>Purpose:</w:t>
      </w:r>
    </w:p>
    <w:p>
      <w:pPr>
        <w:pStyle w:val="Normal"/>
        <w:rPr/>
      </w:pPr>
      <w:r>
        <w:rPr>
          <w:lang w:eastAsia="zh-CN"/>
        </w:rPr>
        <w:t xml:space="preserve">Verify that </w:t>
      </w:r>
      <w:r>
        <w:rPr/>
        <w:t>UP security policy is set to the same for all the 5G LAN UEs.</w:t>
      </w:r>
      <w:r>
        <w:rPr>
          <w:lang w:eastAsia="zh-CN"/>
        </w:rPr>
        <w:t xml:space="preserve"> </w:t>
      </w:r>
    </w:p>
    <w:p>
      <w:pPr>
        <w:pStyle w:val="Normal"/>
        <w:rPr>
          <w:b/>
          <w:lang w:eastAsia="zh-CN"/>
        </w:rPr>
      </w:pPr>
      <w:r>
        <w:rPr>
          <w:b/>
          <w:lang w:eastAsia="zh-CN"/>
        </w:rPr>
        <w:t>Pre-Conditions:</w:t>
      </w:r>
    </w:p>
    <w:p>
      <w:pPr>
        <w:pStyle w:val="Normal"/>
        <w:rPr>
          <w:lang w:eastAsia="zh-CN"/>
        </w:rPr>
      </w:pPr>
      <w:r>
        <w:rPr>
          <w:lang w:eastAsia="zh-CN"/>
        </w:rPr>
        <w:t xml:space="preserve">Test environment with SMF. The SMF may be simulated. </w:t>
      </w:r>
    </w:p>
    <w:p>
      <w:pPr>
        <w:pStyle w:val="Normal"/>
        <w:rPr/>
      </w:pPr>
      <w:r>
        <w:rPr>
          <w:lang w:eastAsia="zh-CN"/>
        </w:rPr>
        <w:t>A dedicated DNN/S-NSSAI combination is defined to identify the 5G LAN service.</w:t>
      </w:r>
    </w:p>
    <w:p>
      <w:pPr>
        <w:pStyle w:val="Normal"/>
        <w:rPr>
          <w:lang w:eastAsia="zh-CN"/>
        </w:rPr>
      </w:pPr>
      <w:r>
        <w:rPr>
          <w:lang w:eastAsia="zh-CN"/>
        </w:rPr>
        <w:t>The security policy of the 5G LAN service is configured in the UDM.</w:t>
      </w:r>
    </w:p>
    <w:p>
      <w:pPr>
        <w:pStyle w:val="Normal"/>
        <w:rPr>
          <w:b/>
          <w:lang w:eastAsia="zh-CN"/>
        </w:rPr>
      </w:pPr>
      <w:r>
        <w:rPr>
          <w:b/>
          <w:lang w:eastAsia="zh-CN"/>
        </w:rPr>
        <w:t>Execution Steps</w:t>
      </w:r>
    </w:p>
    <w:p>
      <w:pPr>
        <w:pStyle w:val="B1"/>
        <w:rPr/>
      </w:pPr>
      <w:r>
        <w:rPr>
          <w:lang w:eastAsia="zh-CN"/>
        </w:rPr>
        <w:t>1.</w:t>
        <w:tab/>
        <w:t xml:space="preserve">During the PDU session establishment procedure initiated by the UE1, the SMF1 sends </w:t>
      </w:r>
      <w:r>
        <w:rPr/>
        <w:t xml:space="preserve">a Nudm_SDM_Get Request message to the UDM under test with a </w:t>
      </w:r>
      <w:r>
        <w:rPr>
          <w:lang w:eastAsia="zh-CN"/>
        </w:rPr>
        <w:t>dedicated DNN/S-NSSAI combination, and SUPI1.</w:t>
      </w:r>
    </w:p>
    <w:p>
      <w:pPr>
        <w:pStyle w:val="B1"/>
        <w:rPr/>
      </w:pPr>
      <w:r>
        <w:rPr>
          <w:lang w:eastAsia="zh-CN"/>
        </w:rPr>
        <w:t>2.</w:t>
        <w:tab/>
        <w:t xml:space="preserve">The UDM under test sends the </w:t>
      </w:r>
      <w:r>
        <w:rPr/>
        <w:t>Nudm_SDM_Get Response back to the SMF1 with UP security policy1.</w:t>
      </w:r>
    </w:p>
    <w:p>
      <w:pPr>
        <w:pStyle w:val="B1"/>
        <w:rPr/>
      </w:pPr>
      <w:r>
        <w:rPr>
          <w:lang w:eastAsia="zh-CN"/>
        </w:rPr>
        <w:t>3.</w:t>
        <w:tab/>
        <w:t xml:space="preserve">During the PDU session establishment procedure initiated by the UE2, the SMF2 sends </w:t>
      </w:r>
      <w:r>
        <w:rPr/>
        <w:t xml:space="preserve">a Nudm_SDM_Get Request message to the UDM under test with a </w:t>
      </w:r>
      <w:r>
        <w:rPr>
          <w:lang w:eastAsia="zh-CN"/>
        </w:rPr>
        <w:t>dedicated DNN/S-NSSAI combination, and SUPI2.</w:t>
      </w:r>
    </w:p>
    <w:p>
      <w:pPr>
        <w:pStyle w:val="B1"/>
        <w:rPr/>
      </w:pPr>
      <w:r>
        <w:rPr>
          <w:lang w:eastAsia="zh-CN"/>
        </w:rPr>
        <w:t>4.</w:t>
        <w:tab/>
        <w:t xml:space="preserve">The UDM under test sends the </w:t>
      </w:r>
      <w:r>
        <w:rPr/>
        <w:t>Nudm_SDM_Get Response back to the SMF2 with UP security policy2.</w:t>
      </w:r>
    </w:p>
    <w:p>
      <w:pPr>
        <w:pStyle w:val="NO"/>
        <w:rPr/>
      </w:pPr>
      <w:r>
        <w:rPr>
          <w:lang w:eastAsia="zh-CN"/>
        </w:rPr>
        <w:t>NOTE 2</w:t>
      </w:r>
      <w:r>
        <w:rPr/>
        <w:t>:</w:t>
        <w:tab/>
        <w:t>SMF1 and SMF2 could be the same network function.</w:t>
      </w:r>
    </w:p>
    <w:p>
      <w:pPr>
        <w:pStyle w:val="Normal"/>
        <w:rPr>
          <w:b/>
          <w:lang w:eastAsia="zh-CN"/>
        </w:rPr>
      </w:pPr>
      <w:r>
        <w:rPr>
          <w:b/>
          <w:lang w:eastAsia="zh-CN"/>
        </w:rPr>
        <w:t>Expected Results:</w:t>
      </w:r>
    </w:p>
    <w:p>
      <w:pPr>
        <w:pStyle w:val="Normal"/>
        <w:rPr/>
      </w:pPr>
      <w:r>
        <w:rPr/>
        <w:t>The confidentiality and integrity protection requirements of the UP security policy1 and UP security policy2 are the same.</w:t>
      </w:r>
    </w:p>
    <w:p>
      <w:pPr>
        <w:pStyle w:val="Normal"/>
        <w:rPr>
          <w:rFonts w:cs="Arial"/>
          <w:b/>
          <w:color w:val="000000"/>
        </w:rPr>
      </w:pPr>
      <w:r>
        <w:rPr>
          <w:rFonts w:cs="Arial"/>
          <w:b/>
          <w:color w:val="000000"/>
        </w:rPr>
        <w:t>Expected format of evidence:</w:t>
      </w:r>
    </w:p>
    <w:p>
      <w:pPr>
        <w:pStyle w:val="Normal"/>
        <w:rPr/>
      </w:pPr>
      <w:r>
        <w:rPr/>
        <w:t>Save the logs and the communication flow in a .pcap file.</w:t>
      </w:r>
    </w:p>
    <w:p>
      <w:pPr>
        <w:pStyle w:val="Normal"/>
        <w:rPr>
          <w:lang w:eastAsia="zh-CN"/>
        </w:rPr>
      </w:pPr>
      <w:r>
        <w:rPr>
          <w:lang w:eastAsia="zh-CN"/>
        </w:rPr>
      </w:r>
    </w:p>
    <w:p>
      <w:pPr>
        <w:pStyle w:val="Heading2"/>
        <w:keepNext w:val="false"/>
        <w:keepLines w:val="false"/>
        <w:suppressLineNumbers/>
        <w:suppressAutoHyphens w:val="true"/>
        <w:ind w:hanging="1134" w:left="1134"/>
        <w:rPr/>
      </w:pPr>
      <w:bookmarkStart w:id="60" w:name="__RefHeading___Toc153454934"/>
      <w:bookmarkEnd w:id="60"/>
      <w:r>
        <w:rPr/>
        <w:t>4.3</w:t>
        <w:tab/>
      </w:r>
      <w:r>
        <w:rPr>
          <w:lang w:eastAsia="zh-CN"/>
        </w:rPr>
        <w:t>UDM</w:t>
      </w:r>
      <w:r>
        <w:rPr/>
        <w:t>-specific adaptations of hardening requirements and related test cases</w:t>
      </w:r>
    </w:p>
    <w:p>
      <w:pPr>
        <w:pStyle w:val="Heading3"/>
        <w:ind w:hanging="1134" w:left="1134"/>
        <w:rPr/>
      </w:pPr>
      <w:bookmarkStart w:id="61" w:name="__RefHeading___Toc153454935"/>
      <w:bookmarkEnd w:id="61"/>
      <w:r>
        <w:rPr/>
        <w:t>4.3.1</w:t>
        <w:tab/>
        <w:t>Introduction</w:t>
      </w:r>
    </w:p>
    <w:p>
      <w:pPr>
        <w:pStyle w:val="Normal"/>
        <w:rPr/>
      </w:pPr>
      <w:r>
        <w:rPr>
          <w:lang w:eastAsia="zh-CN"/>
        </w:rPr>
        <w:t>The present clause contains UDM</w:t>
      </w:r>
      <w:r>
        <w:rPr/>
        <w:t xml:space="preserve">-specific </w:t>
      </w:r>
      <w:r>
        <w:rPr>
          <w:lang w:eastAsia="zh-CN"/>
        </w:rPr>
        <w:t xml:space="preserve">adaptations of </w:t>
      </w:r>
      <w:r>
        <w:rPr>
          <w:lang w:eastAsia="zh-CN"/>
        </w:rPr>
        <w:t xml:space="preserve">hardening </w:t>
      </w:r>
      <w:r>
        <w:rPr/>
        <w:t>requirements</w:t>
      </w:r>
      <w:r>
        <w:rPr>
          <w:lang w:eastAsia="zh-CN"/>
        </w:rPr>
        <w:t xml:space="preserve"> and related test cases</w:t>
      </w:r>
      <w:r>
        <w:rPr>
          <w:lang w:eastAsia="zh-CN"/>
        </w:rPr>
        <w:t>.</w:t>
      </w:r>
    </w:p>
    <w:p>
      <w:pPr>
        <w:pStyle w:val="Heading3"/>
        <w:ind w:hanging="1134" w:left="1134"/>
        <w:rPr/>
      </w:pPr>
      <w:bookmarkStart w:id="62" w:name="__RefHeading___Toc153454936"/>
      <w:bookmarkEnd w:id="62"/>
      <w:r>
        <w:rPr/>
        <w:t>4.3.2</w:t>
        <w:tab/>
        <w:t>Technical baseline</w:t>
      </w:r>
    </w:p>
    <w:p>
      <w:pPr>
        <w:pStyle w:val="Normal"/>
        <w:rPr/>
      </w:pPr>
      <w:r>
        <w:rPr>
          <w:color w:val="000000"/>
        </w:rPr>
        <w:t xml:space="preserve">There are no UDM-specific additions to clause </w:t>
      </w:r>
      <w:r>
        <w:rPr>
          <w:color w:val="000000"/>
        </w:rPr>
        <w:t>4</w:t>
      </w:r>
      <w:r>
        <w:rPr>
          <w:color w:val="000000"/>
        </w:rPr>
        <w:t>.</w:t>
      </w:r>
      <w:r>
        <w:rPr>
          <w:color w:val="000000"/>
          <w:lang w:eastAsia="zh-CN"/>
        </w:rPr>
        <w:t>3.2</w:t>
      </w:r>
      <w:r>
        <w:rPr>
          <w:color w:val="000000"/>
        </w:rPr>
        <w:t xml:space="preserve"> of TS 33.117 [3].</w:t>
      </w:r>
    </w:p>
    <w:p>
      <w:pPr>
        <w:pStyle w:val="Heading3"/>
        <w:ind w:hanging="1134" w:left="1134"/>
        <w:rPr/>
      </w:pPr>
      <w:bookmarkStart w:id="63" w:name="__RefHeading___Toc153454937"/>
      <w:bookmarkEnd w:id="63"/>
      <w:r>
        <w:rPr/>
        <w:t>4.3.3</w:t>
        <w:tab/>
        <w:t>Operating systems</w:t>
      </w:r>
    </w:p>
    <w:p>
      <w:pPr>
        <w:pStyle w:val="Normal"/>
        <w:rPr/>
      </w:pPr>
      <w:r>
        <w:rPr>
          <w:color w:val="000000"/>
        </w:rPr>
        <w:t xml:space="preserve">There are no UDM-specific additions to clause </w:t>
      </w:r>
      <w:r>
        <w:rPr>
          <w:color w:val="000000"/>
        </w:rPr>
        <w:t>4</w:t>
      </w:r>
      <w:r>
        <w:rPr>
          <w:color w:val="000000"/>
        </w:rPr>
        <w:t>.</w:t>
      </w:r>
      <w:r>
        <w:rPr>
          <w:color w:val="000000"/>
          <w:lang w:eastAsia="zh-CN"/>
        </w:rPr>
        <w:t>3.3</w:t>
      </w:r>
      <w:r>
        <w:rPr>
          <w:color w:val="000000"/>
        </w:rPr>
        <w:t xml:space="preserve"> of TS 33.117 [3].</w:t>
      </w:r>
    </w:p>
    <w:p>
      <w:pPr>
        <w:pStyle w:val="Heading3"/>
        <w:ind w:hanging="1134" w:left="1134"/>
        <w:rPr/>
      </w:pPr>
      <w:bookmarkStart w:id="64" w:name="__RefHeading___Toc153454938"/>
      <w:bookmarkEnd w:id="64"/>
      <w:r>
        <w:rPr/>
        <w:t>4.3.4</w:t>
        <w:tab/>
        <w:t>Web servers</w:t>
      </w:r>
    </w:p>
    <w:p>
      <w:pPr>
        <w:pStyle w:val="Normal"/>
        <w:rPr/>
      </w:pPr>
      <w:r>
        <w:rPr>
          <w:color w:val="000000"/>
        </w:rPr>
        <w:t xml:space="preserve">There are no UDM-specific additions to clause </w:t>
      </w:r>
      <w:r>
        <w:rPr>
          <w:color w:val="000000"/>
        </w:rPr>
        <w:t>4</w:t>
      </w:r>
      <w:r>
        <w:rPr>
          <w:color w:val="000000"/>
        </w:rPr>
        <w:t>.</w:t>
      </w:r>
      <w:r>
        <w:rPr>
          <w:color w:val="000000"/>
          <w:lang w:eastAsia="zh-CN"/>
        </w:rPr>
        <w:t>3.4</w:t>
      </w:r>
      <w:r>
        <w:rPr>
          <w:color w:val="000000"/>
        </w:rPr>
        <w:t xml:space="preserve"> of TS 33.117 [3].</w:t>
      </w:r>
    </w:p>
    <w:p>
      <w:pPr>
        <w:pStyle w:val="Heading3"/>
        <w:ind w:hanging="1134" w:left="1134"/>
        <w:rPr/>
      </w:pPr>
      <w:bookmarkStart w:id="65" w:name="__RefHeading___Toc153454939"/>
      <w:bookmarkEnd w:id="65"/>
      <w:r>
        <w:rPr/>
        <w:t>4.3.5</w:t>
        <w:tab/>
        <w:t>Network devices</w:t>
      </w:r>
    </w:p>
    <w:p>
      <w:pPr>
        <w:pStyle w:val="Normal"/>
        <w:rPr>
          <w:color w:val="000000"/>
        </w:rPr>
      </w:pPr>
      <w:r>
        <w:rPr>
          <w:color w:val="000000"/>
        </w:rPr>
        <w:t xml:space="preserve">There are no UDM-specific additions to clause </w:t>
      </w:r>
      <w:r>
        <w:rPr>
          <w:color w:val="000000"/>
        </w:rPr>
        <w:t>4</w:t>
      </w:r>
      <w:r>
        <w:rPr>
          <w:color w:val="000000"/>
        </w:rPr>
        <w:t>.</w:t>
      </w:r>
      <w:r>
        <w:rPr>
          <w:color w:val="000000"/>
          <w:lang w:eastAsia="zh-CN"/>
        </w:rPr>
        <w:t>3.5</w:t>
      </w:r>
      <w:r>
        <w:rPr>
          <w:color w:val="000000"/>
        </w:rPr>
        <w:t xml:space="preserve"> of TS 33.117 [3].</w:t>
      </w:r>
    </w:p>
    <w:p>
      <w:pPr>
        <w:pStyle w:val="Heading3"/>
        <w:ind w:hanging="1134" w:left="1134"/>
        <w:rPr/>
      </w:pPr>
      <w:bookmarkStart w:id="66" w:name="__RefHeading___Toc153454940"/>
      <w:bookmarkEnd w:id="66"/>
      <w:r>
        <w:rPr>
          <w:rFonts w:eastAsia="SimSun;宋体"/>
        </w:rPr>
        <w:t>4.3.6</w:t>
        <w:tab/>
        <w:t>Network functions in service-based architecture</w:t>
      </w:r>
    </w:p>
    <w:p>
      <w:pPr>
        <w:pStyle w:val="Normal"/>
        <w:rPr>
          <w:lang w:eastAsia="zh-CN"/>
        </w:rPr>
      </w:pPr>
      <w:r>
        <w:rPr>
          <w:lang w:eastAsia="zh-CN"/>
        </w:rPr>
        <w:t>There are no UDM-specific additions to clause 4.3.6 in TS 33.117 [3].</w:t>
      </w:r>
    </w:p>
    <w:p>
      <w:pPr>
        <w:pStyle w:val="Heading2"/>
        <w:keepNext w:val="false"/>
        <w:keepLines w:val="false"/>
        <w:suppressLineNumbers/>
        <w:suppressAutoHyphens w:val="true"/>
        <w:ind w:hanging="1134" w:left="1134"/>
        <w:rPr/>
      </w:pPr>
      <w:bookmarkStart w:id="67" w:name="__RefHeading___Toc153454941"/>
      <w:bookmarkEnd w:id="67"/>
      <w:r>
        <w:rPr/>
        <w:t>4.4</w:t>
        <w:tab/>
      </w:r>
      <w:r>
        <w:rPr>
          <w:lang w:eastAsia="zh-CN"/>
        </w:rPr>
        <w:t>UDM</w:t>
      </w:r>
      <w:r>
        <w:rPr/>
        <w:t>-specific adaptations of basic vulnerability testing requirements and related test cases</w:t>
      </w:r>
    </w:p>
    <w:p>
      <w:pPr>
        <w:pStyle w:val="Heading3"/>
        <w:ind w:hanging="1134" w:left="1134"/>
        <w:rPr>
          <w:rFonts w:eastAsia="MS Mincho;ＭＳ 明朝"/>
          <w:lang w:eastAsia="zh-CN"/>
        </w:rPr>
      </w:pPr>
      <w:bookmarkStart w:id="68" w:name="__RefHeading___Toc153454942"/>
      <w:bookmarkEnd w:id="68"/>
      <w:r>
        <w:rPr>
          <w:rFonts w:eastAsia="MS Mincho;ＭＳ 明朝"/>
        </w:rPr>
        <w:t>4.4.1</w:t>
        <w:tab/>
        <w:t>Introduction</w:t>
      </w:r>
    </w:p>
    <w:p>
      <w:pPr>
        <w:pStyle w:val="Normal"/>
        <w:spacing w:before="0" w:after="0"/>
        <w:rPr/>
      </w:pPr>
      <w:r>
        <w:rPr>
          <w:lang w:val="en-US" w:eastAsia="en-US"/>
        </w:rPr>
        <w:t>There are no UDM specific additions to clause 4.4.1 of TS 33.117 [3].</w:t>
      </w:r>
    </w:p>
    <w:p>
      <w:pPr>
        <w:pStyle w:val="Normal"/>
        <w:spacing w:before="0" w:after="0"/>
        <w:rPr>
          <w:lang w:val="en-US" w:eastAsia="en-US"/>
        </w:rPr>
      </w:pPr>
      <w:r>
        <w:rPr>
          <w:lang w:val="en-US" w:eastAsia="en-US"/>
        </w:rPr>
      </w:r>
    </w:p>
    <w:p>
      <w:pPr>
        <w:pStyle w:val="Heading3"/>
        <w:ind w:hanging="1134" w:left="1134"/>
        <w:rPr/>
      </w:pPr>
      <w:bookmarkStart w:id="69" w:name="__RefHeading___Toc153454943"/>
      <w:bookmarkEnd w:id="69"/>
      <w:r>
        <w:rPr>
          <w:rFonts w:eastAsia="MS Mincho;ＭＳ 明朝"/>
        </w:rPr>
        <w:t>4.4.2</w:t>
        <w:tab/>
      </w:r>
      <w:r>
        <w:rPr>
          <w:rFonts w:eastAsia="MS Mincho;ＭＳ 明朝"/>
          <w:lang w:eastAsia="zh-CN"/>
        </w:rPr>
        <w:t>Port scanning</w:t>
      </w:r>
    </w:p>
    <w:p>
      <w:pPr>
        <w:pStyle w:val="Normal"/>
        <w:spacing w:before="0" w:after="0"/>
        <w:rPr/>
      </w:pPr>
      <w:r>
        <w:rPr>
          <w:lang w:val="en-US" w:eastAsia="en-US"/>
        </w:rPr>
        <w:t>There are no UDM specific additions to clause 4.4.2 of TS 33.117 [3].</w:t>
      </w:r>
    </w:p>
    <w:p>
      <w:pPr>
        <w:pStyle w:val="Normal"/>
        <w:spacing w:before="0" w:after="0"/>
        <w:rPr>
          <w:lang w:val="en-US" w:eastAsia="en-US"/>
        </w:rPr>
      </w:pPr>
      <w:r>
        <w:rPr>
          <w:lang w:val="en-US" w:eastAsia="en-US"/>
        </w:rPr>
      </w:r>
    </w:p>
    <w:p>
      <w:pPr>
        <w:pStyle w:val="Heading3"/>
        <w:ind w:hanging="1134" w:left="1134"/>
        <w:rPr/>
      </w:pPr>
      <w:bookmarkStart w:id="70" w:name="__RefHeading___Toc153454944"/>
      <w:bookmarkEnd w:id="70"/>
      <w:r>
        <w:rPr>
          <w:rFonts w:eastAsia="MS Mincho;ＭＳ 明朝"/>
        </w:rPr>
        <w:t>4.4.3</w:t>
        <w:tab/>
      </w:r>
      <w:r>
        <w:rPr>
          <w:rFonts w:eastAsia="MS Mincho;ＭＳ 明朝"/>
          <w:lang w:eastAsia="zh-CN"/>
        </w:rPr>
        <w:t>Vulnerability scanning</w:t>
      </w:r>
    </w:p>
    <w:p>
      <w:pPr>
        <w:pStyle w:val="Normal"/>
        <w:spacing w:before="0" w:after="0"/>
        <w:rPr/>
      </w:pPr>
      <w:r>
        <w:rPr>
          <w:lang w:val="en-US" w:eastAsia="en-US"/>
        </w:rPr>
        <w:t>There are no UDM specific additions to clause 4.4.3 of TS 33.117 [3].</w:t>
      </w:r>
    </w:p>
    <w:p>
      <w:pPr>
        <w:pStyle w:val="Normal"/>
        <w:spacing w:before="0" w:after="0"/>
        <w:rPr>
          <w:lang w:val="en-US" w:eastAsia="en-US"/>
        </w:rPr>
      </w:pPr>
      <w:r>
        <w:rPr>
          <w:lang w:val="en-US" w:eastAsia="en-US"/>
        </w:rPr>
      </w:r>
    </w:p>
    <w:p>
      <w:pPr>
        <w:pStyle w:val="Heading3"/>
        <w:ind w:hanging="1134" w:left="1134"/>
        <w:rPr>
          <w:rFonts w:eastAsia="MS Mincho;ＭＳ 明朝"/>
        </w:rPr>
      </w:pPr>
      <w:bookmarkStart w:id="71" w:name="__RefHeading___Toc153454945"/>
      <w:r>
        <w:rPr>
          <w:rFonts w:eastAsia="MS Mincho;ＭＳ 明朝"/>
        </w:rPr>
        <w:t>4.4.4</w:t>
        <w:tab/>
        <w:t>Robustness and fuzz testing</w:t>
      </w:r>
      <w:bookmarkEnd w:id="71"/>
      <w:r>
        <w:rPr>
          <w:rFonts w:eastAsia="MS Mincho;ＭＳ 明朝"/>
        </w:rPr>
        <w:t xml:space="preserve"> </w:t>
      </w:r>
    </w:p>
    <w:p>
      <w:pPr>
        <w:pStyle w:val="Normal"/>
        <w:spacing w:before="0" w:after="0"/>
        <w:rPr>
          <w:lang w:val="en-US" w:eastAsia="en-US"/>
        </w:rPr>
      </w:pPr>
      <w:r>
        <w:rPr>
          <w:lang w:val="en-US" w:eastAsia="en-US"/>
        </w:rPr>
        <w:t>The test cases under clause 4.4.4 of TS 33.117 [3] are applicable to UDM.</w:t>
      </w:r>
    </w:p>
    <w:p>
      <w:pPr>
        <w:pStyle w:val="Normal"/>
        <w:spacing w:before="0" w:after="0"/>
        <w:rPr>
          <w:lang w:val="en-US" w:eastAsia="en-US"/>
        </w:rPr>
      </w:pPr>
      <w:r>
        <w:rPr>
          <w:lang w:val="en-US" w:eastAsia="en-US"/>
        </w:rPr>
      </w:r>
    </w:p>
    <w:p>
      <w:pPr>
        <w:pStyle w:val="Normal"/>
        <w:spacing w:before="0" w:after="0"/>
        <w:rPr>
          <w:lang w:val="en-US" w:eastAsia="en-US"/>
        </w:rPr>
      </w:pPr>
      <w:r>
        <w:rPr>
          <w:lang w:val="en-US" w:eastAsia="en-US"/>
        </w:rPr>
        <w:t>The interfaces defined for the UDM are in clause 4.2.3 of TS 23.501 [5].</w:t>
      </w:r>
    </w:p>
    <w:p>
      <w:pPr>
        <w:pStyle w:val="Normal"/>
        <w:spacing w:before="0" w:after="0"/>
        <w:rPr>
          <w:lang w:val="en-US" w:eastAsia="en-US"/>
        </w:rPr>
      </w:pPr>
      <w:r>
        <w:rPr>
          <w:lang w:val="en-US" w:eastAsia="en-US"/>
        </w:rPr>
      </w:r>
    </w:p>
    <w:p>
      <w:pPr>
        <w:pStyle w:val="Normal"/>
        <w:spacing w:before="0" w:after="0"/>
        <w:rPr/>
      </w:pPr>
      <w:r>
        <w:rPr>
          <w:lang w:val="en-US" w:eastAsia="en-US"/>
        </w:rPr>
        <w:t>According to clause 4.4.4 of TS 33.117 [3], the transport protocols available on the interfaces providing IP-based protocols need to be robustness tested. Following TCP/IP</w:t>
      </w:r>
      <w:r>
        <w:rPr>
          <w:lang w:val="en-US" w:eastAsia="en-US"/>
        </w:rPr>
        <w:t xml:space="preserve"> layer model and c</w:t>
      </w:r>
      <w:r>
        <w:rPr>
          <w:lang w:val="en-US" w:eastAsia="en-US"/>
        </w:rPr>
        <w:t>onsidering all the protocols over transport layer, for UDM, the following interface and protocols are in the scope of the testing:</w:t>
      </w:r>
    </w:p>
    <w:p>
      <w:pPr>
        <w:pStyle w:val="Normal"/>
        <w:spacing w:before="0" w:after="0"/>
        <w:rPr>
          <w:lang w:val="en-US" w:eastAsia="en-US"/>
        </w:rPr>
      </w:pPr>
      <w:r>
        <w:rPr>
          <w:lang w:val="en-US" w:eastAsia="en-US"/>
        </w:rPr>
      </w:r>
    </w:p>
    <w:p>
      <w:pPr>
        <w:pStyle w:val="B1"/>
        <w:rPr/>
      </w:pPr>
      <w:r>
        <w:rPr>
          <w:lang w:val="en-US" w:eastAsia="en-US"/>
        </w:rPr>
        <w:t>-</w:t>
        <w:tab/>
        <w:t>For Nudm</w:t>
      </w:r>
      <w:r>
        <w:rPr>
          <w:lang w:val="en-US" w:eastAsia="en-US"/>
        </w:rPr>
        <w:t xml:space="preserve">: The TCP, TLS, HTTP2 and JSON </w:t>
      </w:r>
      <w:r>
        <w:rPr>
          <w:lang w:val="en-US" w:eastAsia="en-US"/>
        </w:rPr>
        <w:t>protocols.</w:t>
      </w:r>
    </w:p>
    <w:p>
      <w:pPr>
        <w:pStyle w:val="Normal"/>
        <w:spacing w:before="0" w:after="0"/>
        <w:rPr>
          <w:lang w:val="en-US" w:eastAsia="en-US"/>
        </w:rPr>
      </w:pPr>
      <w:r>
        <w:rPr>
          <w:lang w:val="en-US" w:eastAsia="en-US"/>
        </w:rPr>
      </w:r>
    </w:p>
    <w:p>
      <w:pPr>
        <w:pStyle w:val="NO"/>
        <w:rPr>
          <w:lang w:val="en-US" w:eastAsia="en-US"/>
        </w:rPr>
      </w:pPr>
      <w:r>
        <w:rPr>
          <w:lang w:val="en-US" w:eastAsia="en-US"/>
        </w:rPr>
        <w:t>NOTE:</w:t>
        <w:tab/>
        <w:t>There could be other interfaces and/or protocols requiring testing under clause 4.4.4 of TS 33.117 [3].</w:t>
      </w:r>
    </w:p>
    <w:p>
      <w:pPr>
        <w:pStyle w:val="Normal"/>
        <w:rPr>
          <w:lang w:val="en-US" w:eastAsia="en-US"/>
        </w:rPr>
      </w:pPr>
      <w:r>
        <w:rPr>
          <w:lang w:val="en-US" w:eastAsia="en-US"/>
        </w:rPr>
      </w:r>
      <w:r>
        <w:br w:type="page"/>
      </w:r>
    </w:p>
    <w:p>
      <w:pPr>
        <w:pStyle w:val="Heading8"/>
        <w:rPr/>
      </w:pPr>
      <w:bookmarkStart w:id="72" w:name="__RefHeading___Toc153454946"/>
      <w:bookmarkEnd w:id="72"/>
      <w:r>
        <w:rPr/>
        <w:t>Annex A (informative):</w:t>
        <w:br/>
        <w:t>Change history</w:t>
      </w:r>
    </w:p>
    <w:tbl>
      <w:tblPr>
        <w:tblW w:w="9639" w:type="dxa"/>
        <w:jc w:val="left"/>
        <w:tblInd w:w="40" w:type="dxa"/>
        <w:tblLayout w:type="fixed"/>
        <w:tblCellMar>
          <w:top w:w="0" w:type="dxa"/>
          <w:left w:w="40" w:type="dxa"/>
          <w:bottom w:w="0" w:type="dxa"/>
          <w:right w:w="40" w:type="dxa"/>
        </w:tblCellMar>
      </w:tblPr>
      <w:tblGrid>
        <w:gridCol w:w="993"/>
        <w:gridCol w:w="708"/>
        <w:gridCol w:w="993"/>
        <w:gridCol w:w="567"/>
        <w:gridCol w:w="425"/>
        <w:gridCol w:w="425"/>
        <w:gridCol w:w="4820"/>
        <w:gridCol w:w="708"/>
      </w:tblGrid>
      <w:tr>
        <w:trPr>
          <w:cantSplit w:val="true"/>
        </w:trPr>
        <w:tc>
          <w:tcPr>
            <w:tcW w:w="9639" w:type="dxa"/>
            <w:gridSpan w:val="8"/>
            <w:tcBorders>
              <w:top w:val="single" w:sz="6" w:space="0" w:color="000000"/>
              <w:left w:val="single" w:sz="6" w:space="0" w:color="000000"/>
              <w:right w:val="single" w:sz="6" w:space="0" w:color="000000"/>
            </w:tcBorders>
            <w:shd w:fill="FFFFFF" w:val="clear"/>
          </w:tcPr>
          <w:p>
            <w:pPr>
              <w:pStyle w:val="TAL"/>
              <w:jc w:val="center"/>
              <w:rPr>
                <w:b/>
                <w:sz w:val="16"/>
              </w:rPr>
            </w:pPr>
            <w:r>
              <w:rPr>
                <w:b/>
              </w:rPr>
              <w:t>Change history</w:t>
            </w:r>
          </w:p>
        </w:tc>
      </w:tr>
      <w:tr>
        <w:trPr/>
        <w:tc>
          <w:tcPr>
            <w:tcW w:w="993"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Date</w:t>
            </w:r>
          </w:p>
        </w:tc>
        <w:tc>
          <w:tcPr>
            <w:tcW w:w="708"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Meeting</w:t>
            </w:r>
          </w:p>
        </w:tc>
        <w:tc>
          <w:tcPr>
            <w:tcW w:w="993"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TDoc</w:t>
            </w:r>
          </w:p>
        </w:tc>
        <w:tc>
          <w:tcPr>
            <w:tcW w:w="567"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CR</w:t>
            </w:r>
          </w:p>
        </w:tc>
        <w:tc>
          <w:tcPr>
            <w:tcW w:w="425"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Rev</w:t>
            </w:r>
          </w:p>
        </w:tc>
        <w:tc>
          <w:tcPr>
            <w:tcW w:w="425"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Cat</w:t>
            </w:r>
          </w:p>
        </w:tc>
        <w:tc>
          <w:tcPr>
            <w:tcW w:w="4820"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Subject/Comment</w:t>
            </w:r>
          </w:p>
        </w:tc>
        <w:tc>
          <w:tcPr>
            <w:tcW w:w="708"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New version</w:t>
            </w:r>
          </w:p>
        </w:tc>
      </w:tr>
      <w:tr>
        <w:trPr/>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2019-09</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SA#85</w:t>
            </w:r>
          </w:p>
        </w:tc>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lang w:eastAsia="zh-CN"/>
              </w:rPr>
            </w:pPr>
            <w:r>
              <w:rPr>
                <w:sz w:val="16"/>
                <w:szCs w:val="16"/>
                <w:lang w:eastAsia="zh-CN"/>
              </w:rPr>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rPr>
            </w:pPr>
            <w:r>
              <w:rPr>
                <w:sz w:val="16"/>
                <w:szCs w:val="16"/>
              </w:rPr>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Change control version</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16.0.0</w:t>
            </w:r>
          </w:p>
        </w:tc>
      </w:tr>
      <w:tr>
        <w:trPr/>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2019-10</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lang w:eastAsia="zh-CN"/>
              </w:rPr>
            </w:pPr>
            <w:r>
              <w:rPr>
                <w:sz w:val="16"/>
                <w:szCs w:val="16"/>
                <w:lang w:eastAsia="zh-CN"/>
              </w:rPr>
            </w:r>
          </w:p>
        </w:tc>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lang w:eastAsia="zh-CN"/>
              </w:rPr>
            </w:pPr>
            <w:r>
              <w:rPr>
                <w:sz w:val="16"/>
                <w:szCs w:val="16"/>
                <w:lang w:eastAsia="zh-CN"/>
              </w:rPr>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rPr>
            </w:pPr>
            <w:r>
              <w:rPr>
                <w:sz w:val="16"/>
                <w:szCs w:val="16"/>
              </w:rPr>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EditHelp review</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16.0.1</w:t>
            </w:r>
          </w:p>
        </w:tc>
      </w:tr>
      <w:tr>
        <w:trPr/>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2019-12</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SA#86</w:t>
            </w:r>
          </w:p>
        </w:tc>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SP-191138</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0001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fldChar w:fldCharType="begin"/>
            </w:r>
            <w:r>
              <w:rPr>
                <w:sz w:val="16"/>
                <w:szCs w:val="16"/>
                <w:lang w:eastAsia="zh-CN"/>
              </w:rPr>
              <w:instrText xml:space="preserve"> DOCPROPERTY "CrTitle"</w:instrText>
            </w:r>
            <w:r>
              <w:rPr>
                <w:sz w:val="16"/>
                <w:szCs w:val="16"/>
                <w:lang w:eastAsia="zh-CN"/>
              </w:rPr>
              <w:fldChar w:fldCharType="separate"/>
            </w:r>
            <w:r>
              <w:rPr>
                <w:sz w:val="16"/>
                <w:szCs w:val="16"/>
                <w:lang w:eastAsia="zh-CN"/>
              </w:rPr>
              <w:t xml:space="preserve">Corrections for clean-up and alignment </w:t>
            </w:r>
            <w:r>
              <w:rPr>
                <w:sz w:val="16"/>
                <w:szCs w:val="16"/>
                <w:lang w:eastAsia="zh-CN"/>
              </w:rPr>
              <w:fldChar w:fldCharType="end"/>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16.1.0</w:t>
            </w:r>
          </w:p>
        </w:tc>
      </w:tr>
      <w:tr>
        <w:trPr/>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2020-07</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SA#88E</w:t>
            </w:r>
          </w:p>
        </w:tc>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SP-200358</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0002</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 xml:space="preserve">Update to the test case of Storing of UE authentication status by UDM </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16.2.0</w:t>
            </w:r>
          </w:p>
        </w:tc>
      </w:tr>
      <w:tr>
        <w:trPr/>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2020-09</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SA#89E</w:t>
            </w:r>
          </w:p>
        </w:tc>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SP-200703</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0003</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bookmarkStart w:id="73" w:name="OLE_LINK5"/>
            <w:r>
              <w:rPr>
                <w:sz w:val="16"/>
                <w:szCs w:val="16"/>
                <w:lang w:eastAsia="zh-CN"/>
              </w:rPr>
              <w:t>Clarification on the test cases if the UDM and AUSF are collocated</w:t>
            </w:r>
            <w:bookmarkEnd w:id="73"/>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16.3.0</w:t>
            </w:r>
          </w:p>
        </w:tc>
      </w:tr>
      <w:tr>
        <w:trPr/>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2020-12</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SA#90e</w:t>
            </w:r>
          </w:p>
        </w:tc>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SP-201004</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0004</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Reference of general SBA/SBI aspect in 33.514</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16.4.0</w:t>
            </w:r>
          </w:p>
        </w:tc>
      </w:tr>
      <w:tr>
        <w:trPr/>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2021-06</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SA#92e</w:t>
            </w:r>
          </w:p>
        </w:tc>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SP-210440</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0005</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 xml:space="preserve">CR to include R-16 feature of </w:t>
            </w:r>
            <w:r>
              <w:rPr>
                <w:sz w:val="16"/>
                <w:szCs w:val="16"/>
                <w:lang w:eastAsia="zh-CN"/>
              </w:rPr>
              <w:t>UDM</w:t>
            </w:r>
            <w:r>
              <w:rPr>
                <w:sz w:val="16"/>
                <w:szCs w:val="16"/>
                <w:lang w:eastAsia="zh-CN"/>
              </w:rPr>
              <w:t xml:space="preserve"> to 33.514</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17.0.0</w:t>
            </w:r>
          </w:p>
        </w:tc>
      </w:tr>
      <w:tr>
        <w:trPr/>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2023-06</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SA#100</w:t>
            </w:r>
          </w:p>
        </w:tc>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SP-230604</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0006</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Robustness interfaces and protocols defined for UDM</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18.0.0</w:t>
            </w:r>
          </w:p>
        </w:tc>
      </w:tr>
      <w:tr>
        <w:trPr/>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2023-06</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SA#100</w:t>
            </w:r>
          </w:p>
        </w:tc>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SP-230604</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0007</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SCAS release reference corrections</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18.0.0</w:t>
            </w:r>
          </w:p>
        </w:tc>
      </w:tr>
      <w:tr>
        <w:trPr/>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2023-09</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SA#101</w:t>
            </w:r>
          </w:p>
        </w:tc>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SP-230904</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0009</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Correction of UDM service naming</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18.1.0</w:t>
            </w:r>
          </w:p>
        </w:tc>
      </w:tr>
      <w:tr>
        <w:trPr/>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2023-12</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SA#102</w:t>
            </w:r>
          </w:p>
        </w:tc>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SP-231339</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0010</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Added missing Test Name and Expected format of evidence</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18.2.0</w:t>
            </w:r>
          </w:p>
        </w:tc>
      </w:tr>
      <w:tr>
        <w:trPr/>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2023-12</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SA#102</w:t>
            </w:r>
          </w:p>
        </w:tc>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SP-231339</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0011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2</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Added UDM SCAS test cases for checking an invalid and uncompressed point in ECIES protection scheme for SUCI decryption</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18.2.0</w:t>
            </w:r>
          </w:p>
        </w:tc>
      </w:tr>
      <w:tr>
        <w:trPr/>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2024-06</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SA#104</w:t>
            </w:r>
          </w:p>
        </w:tc>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SP-240669</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0018</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 xml:space="preserve">1 </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Correction to terms</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18.3.0</w:t>
            </w:r>
          </w:p>
        </w:tc>
      </w:tr>
      <w:tr>
        <w:trPr/>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2024-06</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SA#104</w:t>
            </w:r>
          </w:p>
        </w:tc>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SP-240669</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0021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 xml:space="preserve">- </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 xml:space="preserve">Correction to abbreviations </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18.3.0</w:t>
            </w:r>
          </w:p>
        </w:tc>
      </w:tr>
      <w:tr>
        <w:trPr/>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2024-06</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SA#104</w:t>
            </w:r>
          </w:p>
        </w:tc>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SP-240669</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0024</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 xml:space="preserve">- </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 xml:space="preserve">Correction to test names </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18.3.0</w:t>
            </w:r>
          </w:p>
        </w:tc>
      </w:tr>
      <w:tr>
        <w:trPr/>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pPr>
            <w:r>
              <w:rPr>
                <w:sz w:val="16"/>
                <w:szCs w:val="16"/>
                <w:lang w:eastAsia="zh-CN"/>
              </w:rPr>
              <w:t>2024-06</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SA#104</w:t>
            </w:r>
          </w:p>
        </w:tc>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SP-240668</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0027</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 xml:space="preserve">- </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Editorial correction of TEST CASE</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18.3.0</w:t>
            </w:r>
          </w:p>
        </w:tc>
      </w:tr>
      <w:tr>
        <w:trPr/>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2024-06</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SA#104</w:t>
            </w:r>
          </w:p>
        </w:tc>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SP-240668</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0030</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 xml:space="preserve">- </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Fuzz TLS</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18.3.0</w:t>
            </w:r>
          </w:p>
        </w:tc>
      </w:tr>
      <w:tr>
        <w:trPr/>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2025-01</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SA#106</w:t>
            </w:r>
          </w:p>
        </w:tc>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SP-241798</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pPr>
            <w:r>
              <w:rPr>
                <w:sz w:val="16"/>
                <w:szCs w:val="16"/>
              </w:rPr>
              <w:t>0032</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Updating test case about authentication status of UE by UDM</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19.0.0</w:t>
            </w:r>
          </w:p>
        </w:tc>
      </w:tr>
      <w:tr>
        <w:trPr/>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2025-07</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SA#108</w:t>
            </w:r>
          </w:p>
        </w:tc>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SP-250657</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0034</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Clean up of 33.514</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19.1.0</w:t>
            </w:r>
          </w:p>
        </w:tc>
      </w:tr>
    </w:tbl>
    <w:p>
      <w:pPr>
        <w:pStyle w:val="Normal"/>
        <w:spacing w:before="0" w:after="180"/>
        <w:rPr/>
      </w:pPr>
      <w:r>
        <w:rPr/>
      </w:r>
    </w:p>
    <w:sectPr>
      <w:headerReference w:type="default" r:id="rId8"/>
      <w:footerReference w:type="default" r:id="rId9"/>
      <w:type w:val="nextPage"/>
      <w:pgSz w:w="11906" w:h="16838"/>
      <w:pgMar w:left="1133" w:right="1133" w:gutter="0" w:header="850" w:top="1416" w:footer="340" w:bottom="113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Tahoma">
    <w:charset w:val="00"/>
    <w:family w:val="swiss"/>
    <w:pitch w:val="variable"/>
  </w:font>
  <w:font w:name="Segoe UI">
    <w:charset w:val="00"/>
    <w:family w:val="swiss"/>
    <w:pitch w:val="variable"/>
  </w:font>
  <w:font w:name="Calibri Light">
    <w:charset w:val="00"/>
    <w:family w:val="swiss"/>
    <w:pitch w:val="variable"/>
  </w:font>
  <w:font w:name="Calibri">
    <w:charset w:val="00"/>
    <w:family w:val="swiss"/>
    <w:pitch w:val="variable"/>
  </w:font>
  <w:font w:name="Symbol">
    <w:charset w:val="0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3GPP</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0" distB="0" distL="0" distR="0" simplePos="0" locked="0" layoutInCell="0" allowOverlap="1" relativeHeight="28">
              <wp:simplePos x="0" y="0"/>
              <wp:positionH relativeFrom="margin">
                <wp:align>right</wp:align>
              </wp:positionH>
              <wp:positionV relativeFrom="paragraph">
                <wp:posOffset>635</wp:posOffset>
              </wp:positionV>
              <wp:extent cx="14605" cy="180340"/>
              <wp:effectExtent l="0" t="0" r="0" b="0"/>
              <wp:wrapSquare wrapText="bothSides"/>
              <wp:docPr id="12" name="Frame10"/>
              <a:graphic xmlns:a="http://schemas.openxmlformats.org/drawingml/2006/main">
                <a:graphicData uri="http://schemas.microsoft.com/office/word/2010/wordprocessingShape">
                  <wps:wsp>
                    <wps:cNvSpPr txBox="1"/>
                    <wps:spPr>
                      <a:xfrm>
                        <a:off x="0" y="0"/>
                        <a:ext cx="14605" cy="180340"/>
                      </a:xfrm>
                      <a:prstGeom prst="rect"/>
                      <a:solidFill>
                        <a:srgbClr val="FFFFFF">
                          <a:alpha val="0"/>
                        </a:srgbClr>
                      </a:solidFill>
                    </wps:spPr>
                    <wps:txbx>
                      <w:txbxContent>
                        <w:p>
                          <w:pPr>
                            <w:pStyle w:val="Normal"/>
                            <w:spacing w:before="0" w:after="180"/>
                            <w:rPr>
                              <w:rFonts w:ascii="Arial" w:hAnsi="Arial" w:cs="Arial"/>
                              <w:b/>
                              <w:sz w:val="18"/>
                              <w:szCs w:val="18"/>
                            </w:rPr>
                          </w:pPr>
                          <w:r>
                            <w:rPr>
                              <w:rFonts w:cs="Arial" w:ascii="Arial" w:hAnsi="Arial"/>
                              <w:b/>
                              <w:sz w:val="18"/>
                              <w:szCs w:val="18"/>
                            </w:rPr>
                          </w:r>
                        </w:p>
                      </w:txbxContent>
                    </wps:txbx>
                    <wps:bodyPr anchor="t" lIns="0" tIns="0" rIns="0" bIns="0">
                      <a:noAutofit/>
                    </wps:bodyPr>
                  </wps:wsp>
                </a:graphicData>
              </a:graphic>
            </wp:anchor>
          </w:drawing>
        </mc:Choice>
        <mc:Fallback>
          <w:pict>
            <v:rect fillcolor="#FFFFFF" style="position:absolute;rotation:-0;width:1.15pt;height:14.2pt;mso-wrap-distance-left:0pt;mso-wrap-distance-right:0pt;mso-wrap-distance-top:0pt;mso-wrap-distance-bottom:0pt;margin-top:0.05pt;mso-position-vertical-relative:text;margin-left:480.85pt;mso-position-horizontal:right;mso-position-horizontal-relative:margin">
              <v:fill opacity="0f"/>
              <v:textbox inset="0in,0in,0in,0in">
                <w:txbxContent>
                  <w:p>
                    <w:pPr>
                      <w:pStyle w:val="Normal"/>
                      <w:spacing w:before="0" w:after="180"/>
                      <w:rPr>
                        <w:rFonts w:ascii="Arial" w:hAnsi="Arial" w:cs="Arial"/>
                        <w:b/>
                        <w:sz w:val="18"/>
                        <w:szCs w:val="18"/>
                      </w:rPr>
                    </w:pPr>
                    <w:r>
                      <w:rPr>
                        <w:rFonts w:cs="Arial" w:ascii="Arial" w:hAnsi="Arial"/>
                        <w:b/>
                        <w:sz w:val="18"/>
                        <w:szCs w:val="18"/>
                      </w:rPr>
                    </w:r>
                  </w:p>
                </w:txbxContent>
              </v:textbox>
              <w10:wrap type="square"/>
            </v:rect>
          </w:pict>
        </mc:Fallback>
      </mc:AlternateContent>
    </w:r>
    <w:r>
      <mc:AlternateContent>
        <mc:Choice Requires="wps">
          <w:drawing>
            <wp:anchor behindDoc="0" distT="0" distB="0" distL="0" distR="0" simplePos="0" locked="0" layoutInCell="0" allowOverlap="1" relativeHeight="44">
              <wp:simplePos x="0" y="0"/>
              <wp:positionH relativeFrom="margin">
                <wp:align>center</wp:align>
              </wp:positionH>
              <wp:positionV relativeFrom="paragraph">
                <wp:posOffset>4445</wp:posOffset>
              </wp:positionV>
              <wp:extent cx="127635" cy="180340"/>
              <wp:effectExtent l="0" t="0" r="0" b="0"/>
              <wp:wrapSquare wrapText="bothSides"/>
              <wp:docPr id="13" name="Frame11"/>
              <a:graphic xmlns:a="http://schemas.openxmlformats.org/drawingml/2006/main">
                <a:graphicData uri="http://schemas.microsoft.com/office/word/2010/wordprocessingShape">
                  <wps:wsp>
                    <wps:cNvSpPr txBox="1"/>
                    <wps:spPr>
                      <a:xfrm>
                        <a:off x="0" y="0"/>
                        <a:ext cx="127635" cy="180340"/>
                      </a:xfrm>
                      <a:prstGeom prst="rect"/>
                      <a:solidFill>
                        <a:srgbClr val="FFFFFF">
                          <a:alpha val="0"/>
                        </a:srgbClr>
                      </a:solidFill>
                    </wps:spPr>
                    <wps:txbx>
                      <w:txbxContent>
                        <w:p>
                          <w:pPr>
                            <w:pStyle w:val="Normal"/>
                            <w:spacing w:before="0" w:after="180"/>
                            <w:rPr>
                              <w:rFonts w:ascii="Arial" w:hAnsi="Arial" w:cs="Arial"/>
                              <w:b/>
                              <w:sz w:val="18"/>
                              <w:szCs w:val="18"/>
                            </w:rPr>
                          </w:pPr>
                          <w:r>
                            <w:rPr>
                              <w:rFonts w:cs="Arial" w:ascii="Arial" w:hAnsi="Arial"/>
                              <w:b/>
                              <w:sz w:val="18"/>
                              <w:szCs w:val="18"/>
                            </w:rPr>
                            <w:fldChar w:fldCharType="begin"/>
                          </w:r>
                          <w:r>
                            <w:rPr>
                              <w:sz w:val="18"/>
                              <w:b/>
                              <w:szCs w:val="18"/>
                              <w:rFonts w:cs="Arial" w:ascii="Arial" w:hAnsi="Arial"/>
                            </w:rPr>
                            <w:instrText xml:space="preserve"> PAGE </w:instrText>
                          </w:r>
                          <w:r>
                            <w:rPr>
                              <w:sz w:val="18"/>
                              <w:b/>
                              <w:szCs w:val="18"/>
                              <w:rFonts w:cs="Arial" w:ascii="Arial" w:hAnsi="Arial"/>
                            </w:rPr>
                            <w:fldChar w:fldCharType="separate"/>
                          </w:r>
                          <w:r>
                            <w:rPr>
                              <w:sz w:val="18"/>
                              <w:b/>
                              <w:szCs w:val="18"/>
                              <w:rFonts w:cs="Arial" w:ascii="Arial" w:hAnsi="Arial"/>
                            </w:rPr>
                            <w:t>17</w:t>
                          </w:r>
                          <w:r>
                            <w:rPr>
                              <w:sz w:val="18"/>
                              <w:b/>
                              <w:szCs w:val="18"/>
                              <w:rFonts w:cs="Arial" w:ascii="Arial" w:hAnsi="Arial"/>
                            </w:rPr>
                            <w:fldChar w:fldCharType="end"/>
                          </w:r>
                        </w:p>
                      </w:txbxContent>
                    </wps:txbx>
                    <wps:bodyPr anchor="t" lIns="0" tIns="0" rIns="0" bIns="0">
                      <a:noAutofit/>
                    </wps:bodyPr>
                  </wps:wsp>
                </a:graphicData>
              </a:graphic>
            </wp:anchor>
          </w:drawing>
        </mc:Choice>
        <mc:Fallback>
          <w:pict>
            <v:rect fillcolor="#FFFFFF" style="position:absolute;rotation:-0;width:10.05pt;height:14.2pt;mso-wrap-distance-left:0pt;mso-wrap-distance-right:0pt;mso-wrap-distance-top:0pt;mso-wrap-distance-bottom:0pt;margin-top:0.35pt;mso-position-vertical-relative:text;margin-left:236pt;mso-position-horizontal:center;mso-position-horizontal-relative:margin">
              <v:fill opacity="0f"/>
              <v:textbox inset="0in,0in,0in,0in">
                <w:txbxContent>
                  <w:p>
                    <w:pPr>
                      <w:pStyle w:val="Normal"/>
                      <w:spacing w:before="0" w:after="180"/>
                      <w:rPr>
                        <w:rFonts w:ascii="Arial" w:hAnsi="Arial" w:cs="Arial"/>
                        <w:b/>
                        <w:sz w:val="18"/>
                        <w:szCs w:val="18"/>
                      </w:rPr>
                    </w:pPr>
                    <w:r>
                      <w:rPr>
                        <w:rFonts w:cs="Arial" w:ascii="Arial" w:hAnsi="Arial"/>
                        <w:b/>
                        <w:sz w:val="18"/>
                        <w:szCs w:val="18"/>
                      </w:rPr>
                      <w:fldChar w:fldCharType="begin"/>
                    </w:r>
                    <w:r>
                      <w:rPr>
                        <w:sz w:val="18"/>
                        <w:b/>
                        <w:szCs w:val="18"/>
                        <w:rFonts w:cs="Arial" w:ascii="Arial" w:hAnsi="Arial"/>
                      </w:rPr>
                      <w:instrText xml:space="preserve"> PAGE </w:instrText>
                    </w:r>
                    <w:r>
                      <w:rPr>
                        <w:sz w:val="18"/>
                        <w:b/>
                        <w:szCs w:val="18"/>
                        <w:rFonts w:cs="Arial" w:ascii="Arial" w:hAnsi="Arial"/>
                      </w:rPr>
                      <w:fldChar w:fldCharType="separate"/>
                    </w:r>
                    <w:r>
                      <w:rPr>
                        <w:sz w:val="18"/>
                        <w:b/>
                        <w:szCs w:val="18"/>
                        <w:rFonts w:cs="Arial" w:ascii="Arial" w:hAnsi="Arial"/>
                      </w:rPr>
                      <w:t>17</w:t>
                    </w:r>
                    <w:r>
                      <w:rPr>
                        <w:sz w:val="18"/>
                        <w:b/>
                        <w:szCs w:val="18"/>
                        <w:rFonts w:cs="Arial" w:ascii="Arial" w:hAnsi="Arial"/>
                      </w:rPr>
                      <w:fldChar w:fldCharType="end"/>
                    </w:r>
                  </w:p>
                </w:txbxContent>
              </v:textbox>
              <w10:wrap type="square"/>
            </v:rect>
          </w:pict>
        </mc:Fallback>
      </mc:AlternateContent>
    </w:r>
    <w:r>
      <mc:AlternateContent>
        <mc:Choice Requires="wps">
          <w:drawing>
            <wp:anchor behindDoc="0" distT="0" distB="0" distL="0" distR="0" simplePos="0" locked="0" layoutInCell="0" allowOverlap="1" relativeHeight="60">
              <wp:simplePos x="0" y="0"/>
              <wp:positionH relativeFrom="margin">
                <wp:align>left</wp:align>
              </wp:positionH>
              <wp:positionV relativeFrom="paragraph">
                <wp:posOffset>4445</wp:posOffset>
              </wp:positionV>
              <wp:extent cx="14605" cy="180340"/>
              <wp:effectExtent l="0" t="0" r="0" b="0"/>
              <wp:wrapSquare wrapText="bothSides"/>
              <wp:docPr id="14" name="Frame12"/>
              <a:graphic xmlns:a="http://schemas.openxmlformats.org/drawingml/2006/main">
                <a:graphicData uri="http://schemas.microsoft.com/office/word/2010/wordprocessingShape">
                  <wps:wsp>
                    <wps:cNvSpPr txBox="1"/>
                    <wps:spPr>
                      <a:xfrm>
                        <a:off x="0" y="0"/>
                        <a:ext cx="14605" cy="180340"/>
                      </a:xfrm>
                      <a:prstGeom prst="rect"/>
                      <a:solidFill>
                        <a:srgbClr val="FFFFFF">
                          <a:alpha val="0"/>
                        </a:srgbClr>
                      </a:solidFill>
                    </wps:spPr>
                    <wps:txbx>
                      <w:txbxContent>
                        <w:p>
                          <w:pPr>
                            <w:pStyle w:val="Normal"/>
                            <w:spacing w:before="0" w:after="180"/>
                            <w:rPr>
                              <w:rFonts w:ascii="Arial" w:hAnsi="Arial" w:cs="Arial"/>
                              <w:b/>
                              <w:sz w:val="18"/>
                              <w:szCs w:val="18"/>
                            </w:rPr>
                          </w:pPr>
                          <w:r>
                            <w:rPr>
                              <w:rFonts w:cs="Arial" w:ascii="Arial" w:hAnsi="Arial"/>
                              <w:b/>
                              <w:sz w:val="18"/>
                              <w:szCs w:val="18"/>
                            </w:rPr>
                          </w:r>
                        </w:p>
                      </w:txbxContent>
                    </wps:txbx>
                    <wps:bodyPr anchor="t" lIns="0" tIns="0" rIns="0" bIns="0">
                      <a:noAutofit/>
                    </wps:bodyPr>
                  </wps:wsp>
                </a:graphicData>
              </a:graphic>
            </wp:anchor>
          </w:drawing>
        </mc:Choice>
        <mc:Fallback>
          <w:pict>
            <v:rect fillcolor="#FFFFFF" style="position:absolute;rotation:-0;width:1.15pt;height:14.2pt;mso-wrap-distance-left:0pt;mso-wrap-distance-right:0pt;mso-wrap-distance-top:0pt;mso-wrap-distance-bottom:0pt;margin-top:0.35pt;mso-position-vertical-relative:text;margin-left:0pt;mso-position-horizontal:left;mso-position-horizontal-relative:margin">
              <v:fill opacity="0f"/>
              <v:textbox inset="0in,0in,0in,0in">
                <w:txbxContent>
                  <w:p>
                    <w:pPr>
                      <w:pStyle w:val="Normal"/>
                      <w:spacing w:before="0" w:after="180"/>
                      <w:rPr>
                        <w:rFonts w:ascii="Arial" w:hAnsi="Arial" w:cs="Arial"/>
                        <w:b/>
                        <w:sz w:val="18"/>
                        <w:szCs w:val="18"/>
                      </w:rPr>
                    </w:pPr>
                    <w:r>
                      <w:rPr>
                        <w:rFonts w:cs="Arial" w:ascii="Arial" w:hAnsi="Arial"/>
                        <w:b/>
                        <w:sz w:val="18"/>
                        <w:szCs w:val="18"/>
                      </w:rPr>
                    </w:r>
                  </w:p>
                </w:txbxContent>
              </v:textbox>
              <w10:wrap type="squar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1492"/>
        </w:tabs>
        <w:ind w:left="1492" w:hanging="360"/>
      </w:pPr>
    </w:lvl>
  </w:abstractNum>
  <w:abstractNum w:abstractNumId="3">
    <w:lvl w:ilvl="0">
      <w:start w:val="1"/>
      <w:numFmt w:val="decimal"/>
      <w:lvlText w:val="%1."/>
      <w:lvlJc w:val="left"/>
      <w:pPr>
        <w:tabs>
          <w:tab w:val="num" w:pos="1209"/>
        </w:tabs>
        <w:ind w:left="1209" w:hanging="360"/>
      </w:pPr>
    </w:lvl>
  </w:abstractNum>
  <w:abstractNum w:abstractNumId="4">
    <w:lvl w:ilvl="0">
      <w:start w:val="1"/>
      <w:numFmt w:val="decimal"/>
      <w:lvlText w:val="%1."/>
      <w:lvlJc w:val="left"/>
      <w:pPr>
        <w:tabs>
          <w:tab w:val="num" w:pos="926"/>
        </w:tabs>
        <w:ind w:left="926" w:hanging="360"/>
      </w:pPr>
    </w:lvl>
  </w:abstractNum>
  <w:abstractNum w:abstractNumId="5">
    <w:lvl w:ilvl="0">
      <w:start w:val="1"/>
      <w:numFmt w:val="bullet"/>
      <w:lvlText w:val=""/>
      <w:lvlJc w:val="left"/>
      <w:pPr>
        <w:tabs>
          <w:tab w:val="num" w:pos="737"/>
        </w:tabs>
        <w:ind w:left="737" w:hanging="453"/>
      </w:pPr>
      <w:rPr>
        <w:rFonts w:ascii="Symbol" w:hAnsi="Symbol" w:cs="Symbol" w:hint="default"/>
        <w:color w:val="000000"/>
      </w:rPr>
    </w:lvl>
  </w:abstractNum>
  <w:abstractNum w:abstractNumId="6">
    <w:lvl w:ilvl="0">
      <w:start w:val="1"/>
      <w:numFmt w:val="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lowerLetter"/>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decimal"/>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50"/>
  <w:defaultTabStop w:val="284"/>
  <w:autoHyphenation w:val="true"/>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overflowPunct w:val="false"/>
      <w:autoSpaceDE w:val="false"/>
      <w:bidi w:val="0"/>
      <w:spacing w:before="0" w:after="180"/>
      <w:textAlignment w:val="baseline"/>
    </w:pPr>
    <w:rPr>
      <w:rFonts w:ascii="Times New Roman" w:hAnsi="Times New Roman" w:eastAsia="Times New Roman" w:cs="Times New Roman"/>
      <w:color w:val="auto"/>
      <w:sz w:val="20"/>
      <w:szCs w:val="20"/>
      <w:lang w:val="en-GB" w:bidi="ar-SA" w:eastAsia="zh-CN"/>
    </w:rPr>
  </w:style>
  <w:style w:type="paragraph" w:styleId="Heading1">
    <w:name w:val="Heading 1"/>
    <w:next w:val="Normal"/>
    <w:qFormat/>
    <w:pPr>
      <w:keepNext w:val="true"/>
      <w:keepLines/>
      <w:widowControl/>
      <w:numPr>
        <w:ilvl w:val="0"/>
        <w:numId w:val="1"/>
      </w:numPr>
      <w:pBdr>
        <w:top w:val="single" w:sz="12" w:space="3" w:color="000000"/>
      </w:pBdr>
      <w:overflowPunct w:val="false"/>
      <w:autoSpaceDE w:val="false"/>
      <w:bidi w:val="0"/>
      <w:spacing w:before="240" w:after="180"/>
      <w:ind w:hanging="1134" w:left="1134" w:right="0"/>
      <w:textAlignment w:val="baseline"/>
      <w:outlineLvl w:val="0"/>
    </w:pPr>
    <w:rPr>
      <w:rFonts w:ascii="Arial" w:hAnsi="Arial" w:eastAsia="Times New Roman" w:cs="Arial"/>
      <w:color w:val="auto"/>
      <w:sz w:val="36"/>
      <w:szCs w:val="20"/>
      <w:lang w:val="en-GB" w:bidi="ar-SA" w:eastAsia="zh-CN"/>
    </w:rPr>
  </w:style>
  <w:style w:type="paragraph" w:styleId="Heading2">
    <w:name w:val="Heading 2"/>
    <w:basedOn w:val="Heading1"/>
    <w:next w:val="Normal"/>
    <w:qFormat/>
    <w:pPr>
      <w:numPr>
        <w:ilvl w:val="1"/>
        <w:numId w:val="1"/>
      </w:numPr>
      <w:pBdr>
        <w:top w:val="nil"/>
      </w:pBdr>
      <w:spacing w:before="180" w:after="180"/>
      <w:outlineLvl w:val="1"/>
    </w:pPr>
    <w:rPr>
      <w:sz w:val="32"/>
    </w:rPr>
  </w:style>
  <w:style w:type="paragraph" w:styleId="Heading3">
    <w:name w:val="Heading 3"/>
    <w:basedOn w:val="Heading2"/>
    <w:next w:val="Normal"/>
    <w:qFormat/>
    <w:pPr>
      <w:numPr>
        <w:ilvl w:val="2"/>
        <w:numId w:val="1"/>
      </w:numPr>
      <w:spacing w:before="120" w:after="180"/>
      <w:outlineLvl w:val="2"/>
    </w:pPr>
    <w:rPr>
      <w:sz w:val="28"/>
    </w:rPr>
  </w:style>
  <w:style w:type="paragraph" w:styleId="Heading4">
    <w:name w:val="Heading 4"/>
    <w:basedOn w:val="Heading3"/>
    <w:next w:val="Normal"/>
    <w:qFormat/>
    <w:pPr>
      <w:numPr>
        <w:ilvl w:val="3"/>
        <w:numId w:val="1"/>
      </w:numPr>
      <w:ind w:hanging="1418" w:left="1418" w:right="0"/>
      <w:outlineLvl w:val="3"/>
    </w:pPr>
    <w:rPr>
      <w:sz w:val="24"/>
    </w:rPr>
  </w:style>
  <w:style w:type="paragraph" w:styleId="Heading5">
    <w:name w:val="Heading 5"/>
    <w:basedOn w:val="Heading4"/>
    <w:next w:val="Normal"/>
    <w:qFormat/>
    <w:pPr>
      <w:numPr>
        <w:ilvl w:val="4"/>
        <w:numId w:val="1"/>
      </w:numPr>
      <w:ind w:hanging="1701" w:left="1701" w:right="0"/>
      <w:outlineLvl w:val="4"/>
    </w:pPr>
    <w:rPr>
      <w:sz w:val="22"/>
    </w:rPr>
  </w:style>
  <w:style w:type="paragraph" w:styleId="Heading6">
    <w:name w:val="Heading 6"/>
    <w:basedOn w:val="H6"/>
    <w:next w:val="Normal"/>
    <w:qFormat/>
    <w:pPr>
      <w:numPr>
        <w:ilvl w:val="5"/>
        <w:numId w:val="1"/>
      </w:numPr>
      <w:outlineLvl w:val="5"/>
    </w:pPr>
    <w:rPr/>
  </w:style>
  <w:style w:type="paragraph" w:styleId="Heading7">
    <w:name w:val="Heading 7"/>
    <w:basedOn w:val="H6"/>
    <w:next w:val="Normal"/>
    <w:qFormat/>
    <w:pPr>
      <w:numPr>
        <w:ilvl w:val="6"/>
        <w:numId w:val="1"/>
      </w:numPr>
      <w:outlineLvl w:val="6"/>
    </w:pPr>
    <w:rPr/>
  </w:style>
  <w:style w:type="paragraph" w:styleId="Heading8">
    <w:name w:val="Heading 8"/>
    <w:basedOn w:val="Heading1"/>
    <w:next w:val="Normal"/>
    <w:qFormat/>
    <w:pPr>
      <w:numPr>
        <w:ilvl w:val="7"/>
        <w:numId w:val="1"/>
      </w:numPr>
      <w:ind w:hanging="0" w:left="0" w:right="0"/>
      <w:outlineLvl w:val="7"/>
    </w:pPr>
    <w:rPr/>
  </w:style>
  <w:style w:type="paragraph" w:styleId="Heading9">
    <w:name w:val="Heading 9"/>
    <w:basedOn w:val="Heading8"/>
    <w:next w:val="Normal"/>
    <w:qFormat/>
    <w:pPr>
      <w:numPr>
        <w:ilvl w:val="8"/>
        <w:numId w:val="1"/>
      </w:numPr>
      <w:outlineLvl w:val="8"/>
    </w:pPr>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WW8Num15z0">
    <w:name w:val="WW8Num15z0"/>
    <w:qFormat/>
    <w:rPr>
      <w:rFonts w:ascii="Symbol" w:hAnsi="Symbol" w:cs="Symbol"/>
      <w:color w:val="000000"/>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rFonts w:ascii="Times New Roman" w:hAnsi="Times New Roman" w:eastAsia="SimSun;宋体" w:cs="Times New Roman"/>
      <w:b/>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6z3">
    <w:name w:val="WW8Num16z3"/>
    <w:qFormat/>
    <w:rPr>
      <w:rFonts w:ascii="Symbol" w:hAnsi="Symbol" w:cs="Symbol"/>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St1z0">
    <w:name w:val="WW8NumSt1z0"/>
    <w:qFormat/>
    <w:rPr>
      <w:rFonts w:ascii="Symbol" w:hAnsi="Symbol" w:cs="Symbol"/>
    </w:rPr>
  </w:style>
  <w:style w:type="character" w:styleId="WW8NumSt2z0">
    <w:name w:val="WW8NumSt2z0"/>
    <w:qFormat/>
    <w:rPr>
      <w:rFonts w:ascii="Symbol" w:hAnsi="Symbol" w:cs="Symbol"/>
    </w:rPr>
  </w:style>
  <w:style w:type="character" w:styleId="DefaultParagraphFont">
    <w:name w:val="Default Paragraph Font"/>
    <w:qFormat/>
    <w:rPr/>
  </w:style>
  <w:style w:type="character" w:styleId="ZGSM">
    <w:name w:val="ZGSM"/>
    <w:qFormat/>
    <w:rPr/>
  </w:style>
  <w:style w:type="character" w:styleId="CommentReference">
    <w:name w:val="Comment Reference"/>
    <w:qFormat/>
    <w:rPr>
      <w:sz w:val="16"/>
      <w:szCs w:val="16"/>
    </w:rPr>
  </w:style>
  <w:style w:type="character" w:styleId="BalloonTextChar">
    <w:name w:val="Balloon Text Char"/>
    <w:qFormat/>
    <w:rPr>
      <w:rFonts w:ascii="Tahoma" w:hAnsi="Tahoma" w:cs="Tahoma"/>
      <w:sz w:val="16"/>
      <w:szCs w:val="16"/>
    </w:rPr>
  </w:style>
  <w:style w:type="character" w:styleId="EditorsNoteChar">
    <w:name w:val="Editor's Note Char"/>
    <w:qFormat/>
    <w:rPr>
      <w:color w:val="FF0000"/>
    </w:rPr>
  </w:style>
  <w:style w:type="character" w:styleId="Heading3Char">
    <w:name w:val="Heading 3 Char"/>
    <w:qFormat/>
    <w:rPr>
      <w:rFonts w:ascii="Arial" w:hAnsi="Arial" w:cs="Arial"/>
      <w:sz w:val="28"/>
    </w:rPr>
  </w:style>
  <w:style w:type="character" w:styleId="B1Char">
    <w:name w:val="B1 Char"/>
    <w:qFormat/>
    <w:rPr/>
  </w:style>
  <w:style w:type="character" w:styleId="EXChar">
    <w:name w:val="EX Char"/>
    <w:qFormat/>
    <w:rPr/>
  </w:style>
  <w:style w:type="character" w:styleId="FootnoteCharacters">
    <w:name w:val="Footnote Characters"/>
    <w:qFormat/>
    <w:rPr>
      <w:b/>
      <w:sz w:val="16"/>
      <w:vertAlign w:val="superscript"/>
    </w:rPr>
  </w:style>
  <w:style w:type="character" w:styleId="FootnoteTextChar">
    <w:name w:val="Footnote Text Char"/>
    <w:qFormat/>
    <w:rPr>
      <w:sz w:val="16"/>
    </w:rPr>
  </w:style>
  <w:style w:type="character" w:styleId="CommentTextChar">
    <w:name w:val="Comment Text Char"/>
    <w:qFormat/>
    <w:rPr/>
  </w:style>
  <w:style w:type="character" w:styleId="CommentSubjectChar">
    <w:name w:val="Comment Subject Char"/>
    <w:qFormat/>
    <w:rPr>
      <w:b/>
      <w:bCs/>
    </w:rPr>
  </w:style>
  <w:style w:type="character" w:styleId="B1Car">
    <w:name w:val="B1+ Car"/>
    <w:qFormat/>
    <w:rPr/>
  </w:style>
  <w:style w:type="character" w:styleId="Heading2Char">
    <w:name w:val="Heading 2 Char"/>
    <w:qFormat/>
    <w:rPr>
      <w:rFonts w:ascii="Arial" w:hAnsi="Arial" w:cs="Arial"/>
      <w:sz w:val="32"/>
    </w:rPr>
  </w:style>
  <w:style w:type="character" w:styleId="NOChar">
    <w:name w:val="NO Char"/>
    <w:qFormat/>
    <w:rPr/>
  </w:style>
  <w:style w:type="character" w:styleId="BodyTextChar">
    <w:name w:val="Body Text Char"/>
    <w:qFormat/>
    <w:rPr/>
  </w:style>
  <w:style w:type="character" w:styleId="BodyText2Char">
    <w:name w:val="Body Text 2 Char"/>
    <w:qFormat/>
    <w:rPr/>
  </w:style>
  <w:style w:type="character" w:styleId="BodyText3Char">
    <w:name w:val="Body Text 3 Char"/>
    <w:qFormat/>
    <w:rPr>
      <w:sz w:val="16"/>
      <w:szCs w:val="16"/>
    </w:rPr>
  </w:style>
  <w:style w:type="character" w:styleId="BodyTextFirstIndentChar">
    <w:name w:val="Body Text First Indent Char"/>
    <w:basedOn w:val="BodyTextChar"/>
    <w:qFormat/>
    <w:rPr/>
  </w:style>
  <w:style w:type="character" w:styleId="BodyTextIndentChar">
    <w:name w:val="Body Text Indent Char"/>
    <w:qFormat/>
    <w:rPr/>
  </w:style>
  <w:style w:type="character" w:styleId="BodyTextFirstIndent2Char">
    <w:name w:val="Body Text First Indent 2 Char"/>
    <w:basedOn w:val="BodyTextIndentChar"/>
    <w:qFormat/>
    <w:rPr/>
  </w:style>
  <w:style w:type="character" w:styleId="BodyTextIndent2Char">
    <w:name w:val="Body Text Indent 2 Char"/>
    <w:qFormat/>
    <w:rPr/>
  </w:style>
  <w:style w:type="character" w:styleId="BodyTextIndent3Char">
    <w:name w:val="Body Text Indent 3 Char"/>
    <w:qFormat/>
    <w:rPr>
      <w:sz w:val="16"/>
      <w:szCs w:val="16"/>
    </w:rPr>
  </w:style>
  <w:style w:type="character" w:styleId="ClosingChar">
    <w:name w:val="Closing Char"/>
    <w:qFormat/>
    <w:rPr/>
  </w:style>
  <w:style w:type="character" w:styleId="DateChar">
    <w:name w:val="Date Char"/>
    <w:qFormat/>
    <w:rPr/>
  </w:style>
  <w:style w:type="character" w:styleId="DocumentMapChar">
    <w:name w:val="Document Map Char"/>
    <w:qFormat/>
    <w:rPr>
      <w:rFonts w:ascii="Segoe UI" w:hAnsi="Segoe UI" w:cs="Segoe UI"/>
      <w:sz w:val="16"/>
      <w:szCs w:val="16"/>
    </w:rPr>
  </w:style>
  <w:style w:type="character" w:styleId="E-mailSignatureChar">
    <w:name w:val="E-mail Signature Char"/>
    <w:qFormat/>
    <w:rPr/>
  </w:style>
  <w:style w:type="character" w:styleId="EndnoteTextChar">
    <w:name w:val="Endnote Text Char"/>
    <w:qFormat/>
    <w:rPr/>
  </w:style>
  <w:style w:type="character" w:styleId="HTMLAddressChar">
    <w:name w:val="HTML Address Char"/>
    <w:qFormat/>
    <w:rPr>
      <w:i/>
      <w:iCs/>
    </w:rPr>
  </w:style>
  <w:style w:type="character" w:styleId="HTMLPreformattedChar">
    <w:name w:val="HTML Preformatted Char"/>
    <w:qFormat/>
    <w:rPr>
      <w:rFonts w:ascii="Courier New" w:hAnsi="Courier New" w:cs="Courier New"/>
    </w:rPr>
  </w:style>
  <w:style w:type="character" w:styleId="IntenseQuoteChar">
    <w:name w:val="Intense Quote Char"/>
    <w:qFormat/>
    <w:rPr>
      <w:i/>
      <w:iCs/>
      <w:color w:val="4472C4"/>
    </w:rPr>
  </w:style>
  <w:style w:type="character" w:styleId="MacroTextChar">
    <w:name w:val="Macro Text Char"/>
    <w:qFormat/>
    <w:rPr>
      <w:rFonts w:ascii="Courier New" w:hAnsi="Courier New" w:cs="Courier New"/>
    </w:rPr>
  </w:style>
  <w:style w:type="character" w:styleId="MessageHeaderChar">
    <w:name w:val="Message Header Char"/>
    <w:qFormat/>
    <w:rPr>
      <w:rFonts w:ascii="Calibri Light" w:hAnsi="Calibri Light" w:cs="Calibri Light"/>
      <w:sz w:val="24"/>
      <w:szCs w:val="24"/>
      <w:shd w:fill="CCCCCC" w:val="clear"/>
    </w:rPr>
  </w:style>
  <w:style w:type="character" w:styleId="NoteHeadingChar">
    <w:name w:val="Note Heading Char"/>
    <w:qFormat/>
    <w:rPr/>
  </w:style>
  <w:style w:type="character" w:styleId="PlainTextChar">
    <w:name w:val="Plain Text Char"/>
    <w:qFormat/>
    <w:rPr>
      <w:rFonts w:ascii="Courier New" w:hAnsi="Courier New" w:cs="Courier New"/>
    </w:rPr>
  </w:style>
  <w:style w:type="character" w:styleId="QuoteChar">
    <w:name w:val="Quote Char"/>
    <w:qFormat/>
    <w:rPr>
      <w:i/>
      <w:iCs/>
      <w:color w:val="404040"/>
    </w:rPr>
  </w:style>
  <w:style w:type="character" w:styleId="SalutationChar">
    <w:name w:val="Salutation Char"/>
    <w:qFormat/>
    <w:rPr/>
  </w:style>
  <w:style w:type="character" w:styleId="SignatureChar">
    <w:name w:val="Signature Char"/>
    <w:qFormat/>
    <w:rPr/>
  </w:style>
  <w:style w:type="character" w:styleId="SubtitleChar">
    <w:name w:val="Subtitle Char"/>
    <w:qFormat/>
    <w:rPr>
      <w:rFonts w:ascii="Calibri Light" w:hAnsi="Calibri Light" w:cs="Calibri Light"/>
      <w:sz w:val="24"/>
      <w:szCs w:val="24"/>
    </w:rPr>
  </w:style>
  <w:style w:type="character" w:styleId="TitleChar">
    <w:name w:val="Title Char"/>
    <w:qFormat/>
    <w:rPr>
      <w:rFonts w:ascii="Calibri Light" w:hAnsi="Calibri Light" w:cs="Calibri Light"/>
      <w:b/>
      <w:bCs/>
      <w:kern w:val="2"/>
      <w:sz w:val="32"/>
      <w:szCs w:val="32"/>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Normal"/>
    <w:qFormat/>
    <w:pPr>
      <w:spacing w:before="240" w:after="60"/>
      <w:jc w:val="center"/>
      <w:outlineLvl w:val="0"/>
    </w:pPr>
    <w:rPr>
      <w:rFonts w:ascii="Calibri Light" w:hAnsi="Calibri Light" w:cs="Calibri Light"/>
      <w:b/>
      <w:bCs/>
      <w:kern w:val="2"/>
      <w:sz w:val="32"/>
      <w:szCs w:val="32"/>
    </w:rPr>
  </w:style>
  <w:style w:type="paragraph" w:styleId="BodyText">
    <w:name w:val="Body Text"/>
    <w:basedOn w:val="Normal"/>
    <w:pPr>
      <w:spacing w:before="0" w:after="120"/>
    </w:pPr>
    <w:rPr/>
  </w:style>
  <w:style w:type="paragraph" w:styleId="List">
    <w:name w:val="List"/>
    <w:basedOn w:val="Normal"/>
    <w:pPr>
      <w:ind w:hanging="284" w:left="568" w:right="0"/>
    </w:pPr>
    <w:rPr/>
  </w:style>
  <w:style w:type="paragraph" w:styleId="Caption">
    <w:name w:val="Caption"/>
    <w:basedOn w:val="Normal"/>
    <w:next w:val="Normal"/>
    <w:qFormat/>
    <w:pPr/>
    <w:rPr>
      <w:b/>
      <w:bCs/>
    </w:rPr>
  </w:style>
  <w:style w:type="paragraph" w:styleId="Index">
    <w:name w:val="Index"/>
    <w:basedOn w:val="Normal"/>
    <w:qFormat/>
    <w:pPr>
      <w:suppressLineNumbers/>
    </w:pPr>
    <w:rPr/>
  </w:style>
  <w:style w:type="paragraph" w:styleId="H6">
    <w:name w:val="H6"/>
    <w:basedOn w:val="Heading5"/>
    <w:next w:val="Normal"/>
    <w:qFormat/>
    <w:pPr>
      <w:numPr>
        <w:ilvl w:val="0"/>
        <w:numId w:val="0"/>
      </w:numPr>
      <w:ind w:hanging="1985" w:left="1985" w:right="0"/>
      <w:outlineLvl w:val="9"/>
    </w:pPr>
    <w:rPr>
      <w:sz w:val="20"/>
    </w:rPr>
  </w:style>
  <w:style w:type="paragraph" w:styleId="TOC1">
    <w:name w:val="TOC 1"/>
    <w:pPr>
      <w:keepLines/>
      <w:widowControl w:val="false"/>
      <w:tabs>
        <w:tab w:val="clear" w:pos="284"/>
        <w:tab w:val="right" w:pos="9639" w:leader="dot"/>
      </w:tabs>
      <w:overflowPunct w:val="false"/>
      <w:autoSpaceDE w:val="false"/>
      <w:bidi w:val="0"/>
      <w:spacing w:before="120" w:after="0"/>
      <w:ind w:hanging="567" w:left="567" w:right="425"/>
      <w:textAlignment w:val="baseline"/>
    </w:pPr>
    <w:rPr>
      <w:rFonts w:ascii="Times New Roman" w:hAnsi="Times New Roman" w:eastAsia="Times New Roman" w:cs="Times New Roman"/>
      <w:color w:val="auto"/>
      <w:sz w:val="22"/>
      <w:szCs w:val="20"/>
      <w:lang w:val="en-GB" w:bidi="ar-SA" w:eastAsia="zh-CN"/>
    </w:rPr>
  </w:style>
  <w:style w:type="paragraph" w:styleId="TOC8">
    <w:name w:val="TOC 8"/>
    <w:basedOn w:val="TOC1"/>
    <w:pPr>
      <w:spacing w:before="180" w:after="0"/>
      <w:ind w:hanging="2693" w:left="2693" w:right="425"/>
    </w:pPr>
    <w:rPr>
      <w:b/>
    </w:rPr>
  </w:style>
  <w:style w:type="paragraph" w:styleId="TOC9">
    <w:name w:val="TOC 9"/>
    <w:basedOn w:val="TOC8"/>
    <w:pPr>
      <w:ind w:hanging="1418" w:left="1418" w:right="425"/>
    </w:pPr>
    <w:rPr/>
  </w:style>
  <w:style w:type="paragraph" w:styleId="EQ">
    <w:name w:val="EQ"/>
    <w:basedOn w:val="Normal"/>
    <w:next w:val="Normal"/>
    <w:qFormat/>
    <w:pPr>
      <w:keepLines/>
      <w:tabs>
        <w:tab w:val="clear" w:pos="284"/>
        <w:tab w:val="center" w:pos="4536" w:leader="none"/>
        <w:tab w:val="right" w:pos="9072" w:leader="none"/>
      </w:tabs>
    </w:pPr>
    <w:rPr/>
  </w:style>
  <w:style w:type="paragraph" w:styleId="HeaderandFooter">
    <w:name w:val="Header and Footer"/>
    <w:basedOn w:val="Normal"/>
    <w:qFormat/>
    <w:pPr>
      <w:suppressLineNumbers/>
      <w:tabs>
        <w:tab w:val="clear" w:pos="284"/>
        <w:tab w:val="center" w:pos="4819" w:leader="none"/>
        <w:tab w:val="right" w:pos="9638" w:leader="none"/>
      </w:tabs>
    </w:pPr>
    <w:rPr/>
  </w:style>
  <w:style w:type="paragraph" w:styleId="Header">
    <w:name w:val="Header"/>
    <w:pPr>
      <w:widowControl w:val="false"/>
      <w:overflowPunct w:val="false"/>
      <w:autoSpaceDE w:val="false"/>
      <w:bidi w:val="0"/>
      <w:textAlignment w:val="baseline"/>
    </w:pPr>
    <w:rPr>
      <w:rFonts w:ascii="Arial" w:hAnsi="Arial" w:eastAsia="Times New Roman" w:cs="Arial"/>
      <w:b/>
      <w:color w:val="auto"/>
      <w:sz w:val="18"/>
      <w:szCs w:val="20"/>
      <w:lang w:val="en-GB" w:bidi="ar-SA" w:eastAsia="zh-CN"/>
    </w:rPr>
  </w:style>
  <w:style w:type="paragraph" w:styleId="ZD">
    <w:name w:val="ZD"/>
    <w:qFormat/>
    <w:pPr>
      <w:widowControl w:val="false"/>
      <w:overflowPunct w:val="false"/>
      <w:autoSpaceDE w:val="false"/>
      <w:bidi w:val="0"/>
      <w:textAlignment w:val="baseline"/>
    </w:pPr>
    <w:rPr>
      <w:rFonts w:ascii="Arial" w:hAnsi="Arial" w:eastAsia="Times New Roman" w:cs="Arial"/>
      <w:color w:val="auto"/>
      <w:sz w:val="32"/>
      <w:szCs w:val="20"/>
      <w:lang w:val="en-GB" w:eastAsia="en-US" w:bidi="ar-SA"/>
    </w:rPr>
  </w:style>
  <w:style w:type="paragraph" w:styleId="TOC2">
    <w:name w:val="TOC 2"/>
    <w:basedOn w:val="TOC1"/>
    <w:pPr>
      <w:spacing w:before="0" w:after="0"/>
      <w:ind w:hanging="851" w:left="851" w:right="425"/>
    </w:pPr>
    <w:rPr>
      <w:sz w:val="20"/>
    </w:rPr>
  </w:style>
  <w:style w:type="paragraph" w:styleId="TOC3">
    <w:name w:val="TOC 3"/>
    <w:basedOn w:val="TOC2"/>
    <w:pPr>
      <w:ind w:hanging="1134" w:left="1134" w:right="425"/>
    </w:pPr>
    <w:rPr/>
  </w:style>
  <w:style w:type="paragraph" w:styleId="TOC4">
    <w:name w:val="TOC 4"/>
    <w:basedOn w:val="TOC3"/>
    <w:pPr>
      <w:ind w:hanging="1418" w:left="1418" w:right="425"/>
    </w:pPr>
    <w:rPr/>
  </w:style>
  <w:style w:type="paragraph" w:styleId="TOC5">
    <w:name w:val="TOC 5"/>
    <w:basedOn w:val="TOC4"/>
    <w:pPr>
      <w:ind w:hanging="1701" w:left="1701" w:right="425"/>
    </w:pPr>
    <w:rPr/>
  </w:style>
  <w:style w:type="paragraph" w:styleId="Footer">
    <w:name w:val="Footer"/>
    <w:basedOn w:val="Header"/>
    <w:pPr>
      <w:jc w:val="center"/>
    </w:pPr>
    <w:rPr>
      <w:i/>
    </w:rPr>
  </w:style>
  <w:style w:type="paragraph" w:styleId="TT">
    <w:name w:val="TT"/>
    <w:basedOn w:val="Heading1"/>
    <w:next w:val="Normal"/>
    <w:qFormat/>
    <w:pPr>
      <w:numPr>
        <w:ilvl w:val="0"/>
        <w:numId w:val="0"/>
      </w:numPr>
      <w:ind w:hanging="1134" w:left="1134"/>
      <w:outlineLvl w:val="9"/>
    </w:pPr>
    <w:rPr/>
  </w:style>
  <w:style w:type="paragraph" w:styleId="NO">
    <w:name w:val="NO"/>
    <w:basedOn w:val="Normal"/>
    <w:qFormat/>
    <w:pPr>
      <w:keepLines/>
      <w:ind w:hanging="851" w:left="1135" w:right="0"/>
    </w:pPr>
    <w:rPr/>
  </w:style>
  <w:style w:type="paragraph" w:styleId="NF">
    <w:name w:val="NF"/>
    <w:basedOn w:val="NO"/>
    <w:qFormat/>
    <w:pPr>
      <w:keepNext w:val="true"/>
      <w:spacing w:before="0" w:after="0"/>
    </w:pPr>
    <w:rPr>
      <w:rFonts w:ascii="Arial" w:hAnsi="Arial" w:cs="Arial"/>
      <w:sz w:val="18"/>
    </w:rPr>
  </w:style>
  <w:style w:type="paragraph" w:styleId="PL">
    <w:name w:val="PL"/>
    <w:qFormat/>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overflowPunct w:val="false"/>
      <w:autoSpaceDE w:val="false"/>
      <w:bidi w:val="0"/>
      <w:textAlignment w:val="baseline"/>
    </w:pPr>
    <w:rPr>
      <w:rFonts w:ascii="Courier New" w:hAnsi="Courier New" w:eastAsia="Times New Roman" w:cs="Courier New"/>
      <w:color w:val="auto"/>
      <w:sz w:val="16"/>
      <w:szCs w:val="20"/>
      <w:lang w:val="en-GB" w:bidi="ar-SA" w:eastAsia="zh-CN"/>
    </w:rPr>
  </w:style>
  <w:style w:type="paragraph" w:styleId="TAL">
    <w:name w:val="TAL"/>
    <w:basedOn w:val="Normal"/>
    <w:qFormat/>
    <w:pPr>
      <w:keepNext w:val="true"/>
      <w:keepLines/>
      <w:spacing w:before="0" w:after="0"/>
    </w:pPr>
    <w:rPr>
      <w:rFonts w:ascii="Arial" w:hAnsi="Arial" w:cs="Arial"/>
      <w:sz w:val="18"/>
    </w:rPr>
  </w:style>
  <w:style w:type="paragraph" w:styleId="TAR">
    <w:name w:val="TAR"/>
    <w:basedOn w:val="TAL"/>
    <w:qFormat/>
    <w:pPr>
      <w:jc w:val="right"/>
    </w:pPr>
    <w:rPr/>
  </w:style>
  <w:style w:type="paragraph" w:styleId="TAC">
    <w:name w:val="TAC"/>
    <w:basedOn w:val="TAL"/>
    <w:qFormat/>
    <w:pPr>
      <w:jc w:val="center"/>
    </w:pPr>
    <w:rPr/>
  </w:style>
  <w:style w:type="paragraph" w:styleId="TAH">
    <w:name w:val="TAH"/>
    <w:basedOn w:val="TAC"/>
    <w:qFormat/>
    <w:pPr/>
    <w:rPr>
      <w:b/>
    </w:rPr>
  </w:style>
  <w:style w:type="paragraph" w:styleId="LD">
    <w:name w:val="LD"/>
    <w:qFormat/>
    <w:pPr>
      <w:keepNext w:val="true"/>
      <w:keepLines/>
      <w:widowControl/>
      <w:overflowPunct w:val="false"/>
      <w:autoSpaceDE w:val="false"/>
      <w:bidi w:val="0"/>
      <w:spacing w:lineRule="exact" w:line="180"/>
      <w:textAlignment w:val="baseline"/>
    </w:pPr>
    <w:rPr>
      <w:rFonts w:ascii="Courier New" w:hAnsi="Courier New" w:eastAsia="Times New Roman" w:cs="Courier New"/>
      <w:color w:val="auto"/>
      <w:sz w:val="20"/>
      <w:szCs w:val="20"/>
      <w:lang w:val="en-GB" w:bidi="ar-SA" w:eastAsia="zh-CN"/>
    </w:rPr>
  </w:style>
  <w:style w:type="paragraph" w:styleId="EX">
    <w:name w:val="EX"/>
    <w:basedOn w:val="Normal"/>
    <w:qFormat/>
    <w:pPr>
      <w:keepLines/>
      <w:ind w:hanging="1418" w:left="1702" w:right="0"/>
    </w:pPr>
    <w:rPr/>
  </w:style>
  <w:style w:type="paragraph" w:styleId="FP">
    <w:name w:val="FP"/>
    <w:basedOn w:val="Normal"/>
    <w:qFormat/>
    <w:pPr>
      <w:spacing w:before="0" w:after="0"/>
    </w:pPr>
    <w:rPr/>
  </w:style>
  <w:style w:type="paragraph" w:styleId="NW">
    <w:name w:val="NW"/>
    <w:basedOn w:val="NO"/>
    <w:qFormat/>
    <w:pPr>
      <w:spacing w:before="0" w:after="0"/>
    </w:pPr>
    <w:rPr/>
  </w:style>
  <w:style w:type="paragraph" w:styleId="EW">
    <w:name w:val="EW"/>
    <w:basedOn w:val="EX"/>
    <w:qFormat/>
    <w:pPr>
      <w:spacing w:before="0" w:after="0"/>
    </w:pPr>
    <w:rPr/>
  </w:style>
  <w:style w:type="paragraph" w:styleId="B1">
    <w:name w:val="B1"/>
    <w:basedOn w:val="List"/>
    <w:qFormat/>
    <w:pPr/>
    <w:rPr/>
  </w:style>
  <w:style w:type="paragraph" w:styleId="TOC6">
    <w:name w:val="TOC 6"/>
    <w:basedOn w:val="TOC5"/>
    <w:next w:val="Normal"/>
    <w:pPr>
      <w:ind w:hanging="1985" w:left="1985" w:right="425"/>
    </w:pPr>
    <w:rPr/>
  </w:style>
  <w:style w:type="paragraph" w:styleId="TOC7">
    <w:name w:val="TOC 7"/>
    <w:basedOn w:val="TOC6"/>
    <w:next w:val="Normal"/>
    <w:pPr>
      <w:ind w:hanging="2268" w:left="2268" w:right="425"/>
    </w:pPr>
    <w:rPr/>
  </w:style>
  <w:style w:type="paragraph" w:styleId="EditorsNote">
    <w:name w:val="Editor's Note"/>
    <w:basedOn w:val="NO"/>
    <w:qFormat/>
    <w:pPr/>
    <w:rPr>
      <w:color w:val="FF0000"/>
    </w:rPr>
  </w:style>
  <w:style w:type="paragraph" w:styleId="TH">
    <w:name w:val="TH"/>
    <w:basedOn w:val="Normal"/>
    <w:qFormat/>
    <w:pPr>
      <w:keepNext w:val="true"/>
      <w:keepLines/>
      <w:spacing w:before="60" w:after="180"/>
      <w:jc w:val="center"/>
    </w:pPr>
    <w:rPr>
      <w:rFonts w:ascii="Arial" w:hAnsi="Arial" w:cs="Arial"/>
      <w:b/>
    </w:rPr>
  </w:style>
  <w:style w:type="paragraph" w:styleId="ZA">
    <w:name w:val="ZA"/>
    <w:qFormat/>
    <w:pPr>
      <w:widowControl w:val="false"/>
      <w:pBdr>
        <w:bottom w:val="single" w:sz="12" w:space="1" w:color="000000"/>
      </w:pBdr>
      <w:overflowPunct w:val="false"/>
      <w:autoSpaceDE w:val="false"/>
      <w:bidi w:val="0"/>
      <w:jc w:val="right"/>
      <w:textAlignment w:val="baseline"/>
    </w:pPr>
    <w:rPr>
      <w:rFonts w:ascii="Arial" w:hAnsi="Arial" w:eastAsia="Times New Roman" w:cs="Arial"/>
      <w:color w:val="auto"/>
      <w:sz w:val="40"/>
      <w:szCs w:val="20"/>
      <w:lang w:val="en-GB" w:eastAsia="en-US" w:bidi="ar-SA"/>
    </w:rPr>
  </w:style>
  <w:style w:type="paragraph" w:styleId="ZB">
    <w:name w:val="ZB"/>
    <w:qFormat/>
    <w:pPr>
      <w:widowControl w:val="false"/>
      <w:overflowPunct w:val="false"/>
      <w:autoSpaceDE w:val="false"/>
      <w:bidi w:val="0"/>
      <w:ind w:hanging="0" w:left="0" w:right="28"/>
      <w:jc w:val="right"/>
      <w:textAlignment w:val="baseline"/>
    </w:pPr>
    <w:rPr>
      <w:rFonts w:ascii="Arial" w:hAnsi="Arial" w:eastAsia="Times New Roman" w:cs="Arial"/>
      <w:i/>
      <w:color w:val="auto"/>
      <w:sz w:val="20"/>
      <w:szCs w:val="20"/>
      <w:lang w:val="en-GB" w:eastAsia="en-US" w:bidi="ar-SA"/>
    </w:rPr>
  </w:style>
  <w:style w:type="paragraph" w:styleId="ZT">
    <w:name w:val="ZT"/>
    <w:qFormat/>
    <w:pPr>
      <w:widowControl w:val="false"/>
      <w:overflowPunct w:val="false"/>
      <w:autoSpaceDE w:val="false"/>
      <w:bidi w:val="0"/>
      <w:spacing w:lineRule="atLeast" w:line="240"/>
      <w:jc w:val="right"/>
      <w:textAlignment w:val="baseline"/>
    </w:pPr>
    <w:rPr>
      <w:rFonts w:ascii="Arial" w:hAnsi="Arial" w:eastAsia="Times New Roman" w:cs="Arial"/>
      <w:b/>
      <w:color w:val="auto"/>
      <w:sz w:val="34"/>
      <w:szCs w:val="20"/>
      <w:lang w:val="en-GB" w:bidi="ar-SA" w:eastAsia="zh-CN"/>
    </w:rPr>
  </w:style>
  <w:style w:type="paragraph" w:styleId="ZU">
    <w:name w:val="ZU"/>
    <w:qFormat/>
    <w:pPr>
      <w:widowControl w:val="false"/>
      <w:pBdr>
        <w:top w:val="single" w:sz="12" w:space="1" w:color="000000"/>
      </w:pBdr>
      <w:overflowPunct w:val="false"/>
      <w:autoSpaceDE w:val="false"/>
      <w:bidi w:val="0"/>
      <w:jc w:val="right"/>
      <w:textAlignment w:val="baseline"/>
    </w:pPr>
    <w:rPr>
      <w:rFonts w:ascii="Arial" w:hAnsi="Arial" w:eastAsia="Times New Roman" w:cs="Arial"/>
      <w:color w:val="auto"/>
      <w:sz w:val="20"/>
      <w:szCs w:val="20"/>
      <w:lang w:val="en-GB" w:eastAsia="en-US" w:bidi="ar-SA"/>
    </w:rPr>
  </w:style>
  <w:style w:type="paragraph" w:styleId="TAN">
    <w:name w:val="TAN"/>
    <w:basedOn w:val="TAL"/>
    <w:qFormat/>
    <w:pPr>
      <w:ind w:hanging="851" w:left="851" w:right="0"/>
    </w:pPr>
    <w:rPr/>
  </w:style>
  <w:style w:type="paragraph" w:styleId="ZH">
    <w:name w:val="ZH"/>
    <w:qFormat/>
    <w:pPr>
      <w:widowControl w:val="false"/>
      <w:overflowPunct w:val="false"/>
      <w:autoSpaceDE w:val="false"/>
      <w:bidi w:val="0"/>
      <w:textAlignment w:val="baseline"/>
    </w:pPr>
    <w:rPr>
      <w:rFonts w:ascii="Arial" w:hAnsi="Arial" w:eastAsia="Times New Roman" w:cs="Arial"/>
      <w:color w:val="auto"/>
      <w:sz w:val="20"/>
      <w:szCs w:val="20"/>
      <w:lang w:val="en-GB" w:eastAsia="en-US" w:bidi="ar-SA"/>
    </w:rPr>
  </w:style>
  <w:style w:type="paragraph" w:styleId="TF">
    <w:name w:val="TF"/>
    <w:basedOn w:val="TH"/>
    <w:qFormat/>
    <w:pPr>
      <w:keepNext w:val="false"/>
      <w:spacing w:before="0" w:after="240"/>
    </w:pPr>
    <w:rPr/>
  </w:style>
  <w:style w:type="paragraph" w:styleId="ZG">
    <w:name w:val="ZG"/>
    <w:qFormat/>
    <w:pPr>
      <w:widowControl w:val="false"/>
      <w:overflowPunct w:val="false"/>
      <w:autoSpaceDE w:val="false"/>
      <w:bidi w:val="0"/>
      <w:jc w:val="right"/>
      <w:textAlignment w:val="baseline"/>
    </w:pPr>
    <w:rPr>
      <w:rFonts w:ascii="Arial" w:hAnsi="Arial" w:eastAsia="Times New Roman" w:cs="Arial"/>
      <w:color w:val="auto"/>
      <w:sz w:val="20"/>
      <w:szCs w:val="20"/>
      <w:lang w:val="en-GB" w:eastAsia="en-US" w:bidi="ar-SA"/>
    </w:rPr>
  </w:style>
  <w:style w:type="paragraph" w:styleId="ListBullet2">
    <w:name w:val="List Bullet 2"/>
    <w:basedOn w:val="List"/>
    <w:pPr>
      <w:ind w:hanging="284" w:left="851" w:right="0"/>
    </w:pPr>
    <w:rPr/>
  </w:style>
  <w:style w:type="paragraph" w:styleId="B2">
    <w:name w:val="B2"/>
    <w:basedOn w:val="ListBullet2"/>
    <w:qFormat/>
    <w:pPr/>
    <w:rPr/>
  </w:style>
  <w:style w:type="paragraph" w:styleId="ListBullet3">
    <w:name w:val="List Bullet 3"/>
    <w:basedOn w:val="ListBullet2"/>
    <w:pPr>
      <w:ind w:hanging="284" w:left="1135" w:right="0"/>
    </w:pPr>
    <w:rPr/>
  </w:style>
  <w:style w:type="paragraph" w:styleId="B3">
    <w:name w:val="B3"/>
    <w:basedOn w:val="ListBullet3"/>
    <w:qFormat/>
    <w:pPr/>
    <w:rPr/>
  </w:style>
  <w:style w:type="paragraph" w:styleId="ListBullet4">
    <w:name w:val="List Bullet 4"/>
    <w:basedOn w:val="ListBullet3"/>
    <w:pPr>
      <w:ind w:hanging="284" w:left="1418" w:right="0"/>
    </w:pPr>
    <w:rPr/>
  </w:style>
  <w:style w:type="paragraph" w:styleId="B4">
    <w:name w:val="B4"/>
    <w:basedOn w:val="ListBullet4"/>
    <w:qFormat/>
    <w:pPr/>
    <w:rPr/>
  </w:style>
  <w:style w:type="paragraph" w:styleId="ListBullet5">
    <w:name w:val="List Bullet 5"/>
    <w:basedOn w:val="ListBullet4"/>
    <w:pPr>
      <w:ind w:hanging="284" w:left="1702" w:right="0"/>
    </w:pPr>
    <w:rPr/>
  </w:style>
  <w:style w:type="paragraph" w:styleId="B5">
    <w:name w:val="B5"/>
    <w:basedOn w:val="ListBullet5"/>
    <w:qFormat/>
    <w:pPr/>
    <w:rPr/>
  </w:style>
  <w:style w:type="paragraph" w:styleId="ZTD">
    <w:name w:val="ZTD"/>
    <w:basedOn w:val="ZB"/>
    <w:qFormat/>
    <w:pPr/>
    <w:rPr>
      <w:i w:val="false"/>
      <w:sz w:val="40"/>
    </w:rPr>
  </w:style>
  <w:style w:type="paragraph" w:styleId="ZV">
    <w:name w:val="ZV"/>
    <w:basedOn w:val="ZU"/>
    <w:qFormat/>
    <w:pPr/>
    <w:rPr/>
  </w:style>
  <w:style w:type="paragraph" w:styleId="CommentText">
    <w:name w:val="Comment Text"/>
    <w:basedOn w:val="Normal"/>
    <w:qFormat/>
    <w:pPr/>
    <w:rPr/>
  </w:style>
  <w:style w:type="paragraph" w:styleId="BalloonText">
    <w:name w:val="Balloon Text"/>
    <w:basedOn w:val="Normal"/>
    <w:qFormat/>
    <w:pPr>
      <w:spacing w:before="0" w:after="0"/>
    </w:pPr>
    <w:rPr>
      <w:rFonts w:ascii="Tahoma" w:hAnsi="Tahoma" w:cs="Tahoma"/>
      <w:sz w:val="16"/>
      <w:szCs w:val="16"/>
    </w:rPr>
  </w:style>
  <w:style w:type="paragraph" w:styleId="ListParagraph">
    <w:name w:val="List Paragraph"/>
    <w:basedOn w:val="Normal"/>
    <w:qFormat/>
    <w:pPr>
      <w:spacing w:lineRule="auto" w:line="276" w:before="0" w:after="200"/>
      <w:ind w:hanging="0" w:left="720" w:right="0"/>
      <w:contextualSpacing/>
    </w:pPr>
    <w:rPr>
      <w:rFonts w:ascii="Calibri" w:hAnsi="Calibri" w:eastAsia="MS Mincho;ＭＳ 明朝" w:cs="Calibri"/>
      <w:sz w:val="22"/>
      <w:szCs w:val="22"/>
      <w:lang w:eastAsia="ja-JP"/>
    </w:rPr>
  </w:style>
  <w:style w:type="paragraph" w:styleId="FootnoteText">
    <w:name w:val="Footnote Text"/>
    <w:basedOn w:val="Normal"/>
    <w:pPr>
      <w:keepLines/>
      <w:ind w:hanging="454" w:left="454" w:right="0"/>
    </w:pPr>
    <w:rPr>
      <w:sz w:val="16"/>
    </w:rPr>
  </w:style>
  <w:style w:type="paragraph" w:styleId="Index1">
    <w:name w:val="Index 1"/>
    <w:basedOn w:val="Normal"/>
    <w:pPr>
      <w:keepLines/>
    </w:pPr>
    <w:rPr/>
  </w:style>
  <w:style w:type="paragraph" w:styleId="Index2">
    <w:name w:val="Index 2"/>
    <w:basedOn w:val="Index1"/>
    <w:pPr>
      <w:ind w:hanging="0" w:left="284" w:right="0"/>
    </w:pPr>
    <w:rPr/>
  </w:style>
  <w:style w:type="paragraph" w:styleId="ListBullet">
    <w:name w:val="List Bullet"/>
    <w:basedOn w:val="List"/>
    <w:qFormat/>
    <w:pPr>
      <w:numPr>
        <w:ilvl w:val="0"/>
        <w:numId w:val="6"/>
      </w:numPr>
    </w:pPr>
    <w:rPr/>
  </w:style>
  <w:style w:type="paragraph" w:styleId="ListBullet21">
    <w:name w:val="List Bullet 21"/>
    <w:basedOn w:val="ListBullet"/>
    <w:qFormat/>
    <w:pPr>
      <w:numPr>
        <w:ilvl w:val="0"/>
        <w:numId w:val="7"/>
      </w:numPr>
      <w:ind w:hanging="284" w:left="851" w:right="0"/>
    </w:pPr>
    <w:rPr/>
  </w:style>
  <w:style w:type="paragraph" w:styleId="ListBullet31">
    <w:name w:val="List Bullet 31"/>
    <w:basedOn w:val="ListBullet21"/>
    <w:qFormat/>
    <w:pPr>
      <w:ind w:hanging="284" w:left="1135" w:right="0"/>
    </w:pPr>
    <w:rPr/>
  </w:style>
  <w:style w:type="paragraph" w:styleId="ListBullet41">
    <w:name w:val="List Bullet 41"/>
    <w:basedOn w:val="ListBullet31"/>
    <w:qFormat/>
    <w:pPr>
      <w:ind w:hanging="284" w:left="1418" w:right="0"/>
    </w:pPr>
    <w:rPr/>
  </w:style>
  <w:style w:type="paragraph" w:styleId="ListBullet51">
    <w:name w:val="List Bullet 51"/>
    <w:basedOn w:val="ListBullet41"/>
    <w:qFormat/>
    <w:pPr>
      <w:ind w:hanging="284" w:left="1702" w:right="0"/>
    </w:pPr>
    <w:rPr/>
  </w:style>
  <w:style w:type="paragraph" w:styleId="ListNumber">
    <w:name w:val="List Number"/>
    <w:basedOn w:val="List"/>
    <w:qFormat/>
    <w:pPr>
      <w:numPr>
        <w:ilvl w:val="0"/>
        <w:numId w:val="8"/>
      </w:numPr>
    </w:pPr>
    <w:rPr/>
  </w:style>
  <w:style w:type="paragraph" w:styleId="ListNumber2">
    <w:name w:val="List Number 2"/>
    <w:basedOn w:val="ListNumber"/>
    <w:qFormat/>
    <w:pPr>
      <w:numPr>
        <w:ilvl w:val="0"/>
        <w:numId w:val="9"/>
      </w:numPr>
      <w:ind w:hanging="284" w:left="851" w:right="0"/>
    </w:pPr>
    <w:rPr/>
  </w:style>
  <w:style w:type="paragraph" w:styleId="FL">
    <w:name w:val="FL"/>
    <w:basedOn w:val="Normal"/>
    <w:qFormat/>
    <w:pPr>
      <w:keepNext w:val="true"/>
      <w:keepLines/>
      <w:spacing w:before="60" w:after="180"/>
      <w:jc w:val="center"/>
    </w:pPr>
    <w:rPr>
      <w:rFonts w:ascii="Arial" w:hAnsi="Arial" w:cs="Arial"/>
      <w:b/>
    </w:rPr>
  </w:style>
  <w:style w:type="paragraph" w:styleId="CommentSubject">
    <w:name w:val="Comment Subject"/>
    <w:basedOn w:val="CommentText"/>
    <w:next w:val="CommentText"/>
    <w:qFormat/>
    <w:pPr/>
    <w:rPr>
      <w:b/>
      <w:bCs/>
    </w:rPr>
  </w:style>
  <w:style w:type="paragraph" w:styleId="Revision">
    <w:name w:val="Revision"/>
    <w:qFormat/>
    <w:pPr>
      <w:widowControl/>
      <w:bidi w:val="0"/>
    </w:pPr>
    <w:rPr>
      <w:rFonts w:ascii="Times New Roman" w:hAnsi="Times New Roman" w:eastAsia="Times New Roman" w:cs="Times New Roman"/>
      <w:color w:val="auto"/>
      <w:sz w:val="20"/>
      <w:szCs w:val="20"/>
      <w:lang w:val="en-GB" w:bidi="ar-SA" w:eastAsia="zh-CN"/>
    </w:rPr>
  </w:style>
  <w:style w:type="paragraph" w:styleId="B11">
    <w:name w:val="B1+"/>
    <w:basedOn w:val="B1"/>
    <w:qFormat/>
    <w:pPr>
      <w:numPr>
        <w:ilvl w:val="0"/>
        <w:numId w:val="5"/>
      </w:numPr>
    </w:pPr>
    <w:rPr/>
  </w:style>
  <w:style w:type="paragraph" w:styleId="Bibliography">
    <w:name w:val="Bibliography"/>
    <w:basedOn w:val="Normal"/>
    <w:next w:val="Normal"/>
    <w:qFormat/>
    <w:pPr/>
    <w:rPr/>
  </w:style>
  <w:style w:type="paragraph" w:styleId="BlockText">
    <w:name w:val="Block Text"/>
    <w:basedOn w:val="Normal"/>
    <w:qFormat/>
    <w:pPr>
      <w:spacing w:before="0" w:after="120"/>
      <w:ind w:hanging="0" w:left="1440" w:right="1440"/>
    </w:pPr>
    <w:rPr/>
  </w:style>
  <w:style w:type="paragraph" w:styleId="BodyText2">
    <w:name w:val="Body Text 2"/>
    <w:basedOn w:val="Normal"/>
    <w:qFormat/>
    <w:pPr>
      <w:spacing w:lineRule="auto" w:line="480" w:before="0" w:after="120"/>
    </w:pPr>
    <w:rPr/>
  </w:style>
  <w:style w:type="paragraph" w:styleId="BodyText3">
    <w:name w:val="Body Text 3"/>
    <w:basedOn w:val="Normal"/>
    <w:qFormat/>
    <w:pPr>
      <w:spacing w:before="0" w:after="120"/>
    </w:pPr>
    <w:rPr>
      <w:sz w:val="16"/>
      <w:szCs w:val="16"/>
    </w:rPr>
  </w:style>
  <w:style w:type="paragraph" w:styleId="BodyTextFirstIndent">
    <w:name w:val="Body Text First Indent"/>
    <w:basedOn w:val="BodyText"/>
    <w:qFormat/>
    <w:pPr>
      <w:ind w:firstLine="210" w:left="0" w:right="0"/>
    </w:pPr>
    <w:rPr/>
  </w:style>
  <w:style w:type="paragraph" w:styleId="BodyTextIndent">
    <w:name w:val="Body Text Indent"/>
    <w:basedOn w:val="Normal"/>
    <w:pPr>
      <w:spacing w:before="0" w:after="120"/>
      <w:ind w:hanging="0" w:left="283" w:right="0"/>
    </w:pPr>
    <w:rPr/>
  </w:style>
  <w:style w:type="paragraph" w:styleId="BodyTextFirstIndent2">
    <w:name w:val="Body Text First Indent 2"/>
    <w:basedOn w:val="BodyTextIndent"/>
    <w:qFormat/>
    <w:pPr>
      <w:ind w:firstLine="210" w:left="283" w:right="0"/>
    </w:pPr>
    <w:rPr/>
  </w:style>
  <w:style w:type="paragraph" w:styleId="BodyTextIndent2">
    <w:name w:val="Body Text Indent 2"/>
    <w:basedOn w:val="Normal"/>
    <w:qFormat/>
    <w:pPr>
      <w:spacing w:lineRule="auto" w:line="480" w:before="0" w:after="120"/>
      <w:ind w:hanging="0" w:left="283" w:right="0"/>
    </w:pPr>
    <w:rPr/>
  </w:style>
  <w:style w:type="paragraph" w:styleId="BodyTextIndent3">
    <w:name w:val="Body Text Indent 3"/>
    <w:basedOn w:val="Normal"/>
    <w:qFormat/>
    <w:pPr>
      <w:spacing w:before="0" w:after="120"/>
      <w:ind w:hanging="0" w:left="283" w:right="0"/>
    </w:pPr>
    <w:rPr>
      <w:sz w:val="16"/>
      <w:szCs w:val="16"/>
    </w:rPr>
  </w:style>
  <w:style w:type="paragraph" w:styleId="Closing">
    <w:name w:val="Closing"/>
    <w:basedOn w:val="Normal"/>
    <w:qFormat/>
    <w:pPr>
      <w:ind w:hanging="0" w:left="4252" w:right="0"/>
    </w:pPr>
    <w:rPr/>
  </w:style>
  <w:style w:type="paragraph" w:styleId="Date">
    <w:name w:val="Date"/>
    <w:basedOn w:val="Normal"/>
    <w:next w:val="Normal"/>
    <w:qFormat/>
    <w:pPr/>
    <w:rPr/>
  </w:style>
  <w:style w:type="paragraph" w:styleId="DocumentMap">
    <w:name w:val="Document Map"/>
    <w:basedOn w:val="Normal"/>
    <w:qFormat/>
    <w:pPr/>
    <w:rPr>
      <w:rFonts w:ascii="Segoe UI" w:hAnsi="Segoe UI" w:cs="Segoe UI"/>
      <w:sz w:val="16"/>
      <w:szCs w:val="16"/>
    </w:rPr>
  </w:style>
  <w:style w:type="paragraph" w:styleId="E-mailSignature">
    <w:name w:val="E-mail Signature"/>
    <w:basedOn w:val="Normal"/>
    <w:qFormat/>
    <w:pPr/>
    <w:rPr/>
  </w:style>
  <w:style w:type="paragraph" w:styleId="EndnoteText">
    <w:name w:val="Endnote Text"/>
    <w:basedOn w:val="Normal"/>
    <w:pPr/>
    <w:rPr/>
  </w:style>
  <w:style w:type="paragraph" w:styleId="EnvelopeAddress">
    <w:name w:val="Envelope Address"/>
    <w:basedOn w:val="Normal"/>
    <w:pPr>
      <w:ind w:hanging="0" w:left="2880" w:right="0"/>
    </w:pPr>
    <w:rPr>
      <w:rFonts w:ascii="Calibri Light" w:hAnsi="Calibri Light" w:cs="Calibri Light"/>
      <w:sz w:val="24"/>
      <w:szCs w:val="24"/>
    </w:rPr>
  </w:style>
  <w:style w:type="paragraph" w:styleId="EnvelopeReturn">
    <w:name w:val="Envelope Return"/>
    <w:basedOn w:val="Normal"/>
    <w:pPr/>
    <w:rPr>
      <w:rFonts w:ascii="Calibri Light" w:hAnsi="Calibri Light" w:cs="Calibri Light"/>
    </w:rPr>
  </w:style>
  <w:style w:type="paragraph" w:styleId="HTMLAddress">
    <w:name w:val="HTML Address"/>
    <w:basedOn w:val="Normal"/>
    <w:qFormat/>
    <w:pPr/>
    <w:rPr>
      <w:i/>
      <w:iCs/>
    </w:rPr>
  </w:style>
  <w:style w:type="paragraph" w:styleId="HTMLPreformatted">
    <w:name w:val="HTML Preformatted"/>
    <w:basedOn w:val="Normal"/>
    <w:qFormat/>
    <w:pPr/>
    <w:rPr>
      <w:rFonts w:ascii="Courier New" w:hAnsi="Courier New" w:cs="Courier New"/>
    </w:rPr>
  </w:style>
  <w:style w:type="paragraph" w:styleId="Index3">
    <w:name w:val="Index 3"/>
    <w:basedOn w:val="Normal"/>
    <w:next w:val="Normal"/>
    <w:pPr>
      <w:ind w:hanging="200" w:left="600" w:right="0"/>
    </w:pPr>
    <w:rPr/>
  </w:style>
  <w:style w:type="paragraph" w:styleId="Index4">
    <w:name w:val="Index 4"/>
    <w:basedOn w:val="Normal"/>
    <w:next w:val="Normal"/>
    <w:qFormat/>
    <w:pPr>
      <w:ind w:hanging="200" w:left="800" w:right="0"/>
    </w:pPr>
    <w:rPr/>
  </w:style>
  <w:style w:type="paragraph" w:styleId="Index5">
    <w:name w:val="Index 5"/>
    <w:basedOn w:val="Normal"/>
    <w:next w:val="Normal"/>
    <w:qFormat/>
    <w:pPr>
      <w:ind w:hanging="200" w:left="1000" w:right="0"/>
    </w:pPr>
    <w:rPr/>
  </w:style>
  <w:style w:type="paragraph" w:styleId="Index6">
    <w:name w:val="Index 6"/>
    <w:basedOn w:val="Normal"/>
    <w:next w:val="Normal"/>
    <w:qFormat/>
    <w:pPr>
      <w:ind w:hanging="200" w:left="1200" w:right="0"/>
    </w:pPr>
    <w:rPr/>
  </w:style>
  <w:style w:type="paragraph" w:styleId="Index7">
    <w:name w:val="Index 7"/>
    <w:basedOn w:val="Normal"/>
    <w:next w:val="Normal"/>
    <w:qFormat/>
    <w:pPr>
      <w:ind w:hanging="200" w:left="1400" w:right="0"/>
    </w:pPr>
    <w:rPr/>
  </w:style>
  <w:style w:type="paragraph" w:styleId="Index8">
    <w:name w:val="Index 8"/>
    <w:basedOn w:val="Normal"/>
    <w:next w:val="Normal"/>
    <w:qFormat/>
    <w:pPr>
      <w:ind w:hanging="200" w:left="1600" w:right="0"/>
    </w:pPr>
    <w:rPr/>
  </w:style>
  <w:style w:type="paragraph" w:styleId="Index9">
    <w:name w:val="Index 9"/>
    <w:basedOn w:val="Normal"/>
    <w:next w:val="Normal"/>
    <w:qFormat/>
    <w:pPr>
      <w:ind w:hanging="200" w:left="1800" w:right="0"/>
    </w:pPr>
    <w:rPr/>
  </w:style>
  <w:style w:type="paragraph" w:styleId="IndexHeading">
    <w:name w:val="Index Heading"/>
    <w:basedOn w:val="Normal"/>
    <w:next w:val="Index1"/>
    <w:pPr/>
    <w:rPr>
      <w:rFonts w:ascii="Calibri Light" w:hAnsi="Calibri Light" w:cs="Calibri Light"/>
      <w:b/>
      <w:bCs/>
    </w:rPr>
  </w:style>
  <w:style w:type="paragraph" w:styleId="IntenseQuote">
    <w:name w:val="Intense Quote"/>
    <w:basedOn w:val="Normal"/>
    <w:next w:val="Normal"/>
    <w:qFormat/>
    <w:pPr>
      <w:pBdr>
        <w:top w:val="single" w:sz="4" w:space="10" w:color="4472C4"/>
        <w:bottom w:val="single" w:sz="4" w:space="10" w:color="4472C4"/>
      </w:pBdr>
      <w:spacing w:before="360" w:after="360"/>
      <w:ind w:hanging="0" w:left="864" w:right="864"/>
      <w:jc w:val="center"/>
    </w:pPr>
    <w:rPr>
      <w:i/>
      <w:iCs/>
      <w:color w:val="4472C4"/>
    </w:rPr>
  </w:style>
  <w:style w:type="paragraph" w:styleId="ListContinue">
    <w:name w:val="List Continue"/>
    <w:basedOn w:val="Normal"/>
    <w:qFormat/>
    <w:pPr>
      <w:spacing w:before="0" w:after="120"/>
      <w:ind w:hanging="0" w:left="283" w:right="0"/>
      <w:contextualSpacing/>
    </w:pPr>
    <w:rPr/>
  </w:style>
  <w:style w:type="paragraph" w:styleId="ListContinue2">
    <w:name w:val="List Continue 2"/>
    <w:basedOn w:val="Normal"/>
    <w:qFormat/>
    <w:pPr>
      <w:spacing w:before="0" w:after="120"/>
      <w:ind w:hanging="0" w:left="566" w:right="0"/>
      <w:contextualSpacing/>
    </w:pPr>
    <w:rPr/>
  </w:style>
  <w:style w:type="paragraph" w:styleId="ListContinue3">
    <w:name w:val="List Continue 3"/>
    <w:basedOn w:val="Normal"/>
    <w:qFormat/>
    <w:pPr>
      <w:spacing w:before="0" w:after="120"/>
      <w:ind w:hanging="0" w:left="849" w:right="0"/>
      <w:contextualSpacing/>
    </w:pPr>
    <w:rPr/>
  </w:style>
  <w:style w:type="paragraph" w:styleId="ListContinue4">
    <w:name w:val="List Continue 4"/>
    <w:basedOn w:val="Normal"/>
    <w:qFormat/>
    <w:pPr>
      <w:spacing w:before="0" w:after="120"/>
      <w:ind w:hanging="0" w:left="1132" w:right="0"/>
      <w:contextualSpacing/>
    </w:pPr>
    <w:rPr/>
  </w:style>
  <w:style w:type="paragraph" w:styleId="ListContinue5">
    <w:name w:val="List Continue 5"/>
    <w:basedOn w:val="Normal"/>
    <w:qFormat/>
    <w:pPr>
      <w:spacing w:before="0" w:after="120"/>
      <w:ind w:hanging="0" w:left="1415" w:right="0"/>
      <w:contextualSpacing/>
    </w:pPr>
    <w:rPr/>
  </w:style>
  <w:style w:type="paragraph" w:styleId="ListNumber3">
    <w:name w:val="List Number 3"/>
    <w:basedOn w:val="Normal"/>
    <w:qFormat/>
    <w:pPr>
      <w:numPr>
        <w:ilvl w:val="0"/>
        <w:numId w:val="4"/>
      </w:numPr>
      <w:spacing w:before="0" w:after="180"/>
      <w:contextualSpacing/>
    </w:pPr>
    <w:rPr/>
  </w:style>
  <w:style w:type="paragraph" w:styleId="ListNumber4">
    <w:name w:val="List Number 4"/>
    <w:basedOn w:val="Normal"/>
    <w:qFormat/>
    <w:pPr>
      <w:numPr>
        <w:ilvl w:val="0"/>
        <w:numId w:val="3"/>
      </w:numPr>
      <w:spacing w:before="0" w:after="180"/>
      <w:contextualSpacing/>
    </w:pPr>
    <w:rPr/>
  </w:style>
  <w:style w:type="paragraph" w:styleId="ListNumber5">
    <w:name w:val="List Number 5"/>
    <w:basedOn w:val="Normal"/>
    <w:qFormat/>
    <w:pPr>
      <w:numPr>
        <w:ilvl w:val="0"/>
        <w:numId w:val="2"/>
      </w:numPr>
      <w:spacing w:before="0" w:after="180"/>
      <w:contextualSpacing/>
    </w:pPr>
    <w:rPr/>
  </w:style>
  <w:style w:type="paragraph" w:styleId="MacroText">
    <w:name w:val="Macro Text"/>
    <w:qFormat/>
    <w:pPr>
      <w:widowControl/>
      <w:tabs>
        <w:tab w:val="clear" w:pos="284"/>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overflowPunct w:val="false"/>
      <w:autoSpaceDE w:val="false"/>
      <w:bidi w:val="0"/>
      <w:spacing w:before="0" w:after="180"/>
      <w:textAlignment w:val="baseline"/>
    </w:pPr>
    <w:rPr>
      <w:rFonts w:ascii="Courier New" w:hAnsi="Courier New" w:eastAsia="Times New Roman" w:cs="Courier New"/>
      <w:color w:val="auto"/>
      <w:sz w:val="20"/>
      <w:szCs w:val="20"/>
      <w:lang w:val="en-GB" w:bidi="ar-SA" w:eastAsia="zh-CN"/>
    </w:rPr>
  </w:style>
  <w:style w:type="paragraph" w:styleId="MessageHeader">
    <w:name w:val="Message Header"/>
    <w:basedOn w:val="Normal"/>
    <w:qFormat/>
    <w:pPr>
      <w:pBdr>
        <w:top w:val="single" w:sz="6" w:space="1" w:color="000000"/>
        <w:left w:val="single" w:sz="6" w:space="1" w:color="000000"/>
        <w:bottom w:val="single" w:sz="6" w:space="1" w:color="000000"/>
        <w:right w:val="single" w:sz="6" w:space="1" w:color="000000"/>
      </w:pBdr>
      <w:shd w:fill="CCCCCC" w:val="clear"/>
      <w:ind w:hanging="1134" w:left="1134" w:right="0"/>
    </w:pPr>
    <w:rPr>
      <w:rFonts w:ascii="Calibri Light" w:hAnsi="Calibri Light" w:cs="Calibri Light"/>
      <w:sz w:val="24"/>
      <w:szCs w:val="24"/>
    </w:rPr>
  </w:style>
  <w:style w:type="paragraph" w:styleId="NoSpacing">
    <w:name w:val="No Spacing"/>
    <w:qFormat/>
    <w:pPr>
      <w:widowControl/>
      <w:overflowPunct w:val="false"/>
      <w:autoSpaceDE w:val="false"/>
      <w:bidi w:val="0"/>
      <w:textAlignment w:val="baseline"/>
    </w:pPr>
    <w:rPr>
      <w:rFonts w:ascii="Times New Roman" w:hAnsi="Times New Roman" w:eastAsia="Times New Roman" w:cs="Times New Roman"/>
      <w:color w:val="auto"/>
      <w:sz w:val="20"/>
      <w:szCs w:val="20"/>
      <w:lang w:val="en-GB" w:bidi="ar-SA" w:eastAsia="zh-CN"/>
    </w:rPr>
  </w:style>
  <w:style w:type="paragraph" w:styleId="NormalWeb">
    <w:name w:val="Normal (Web)"/>
    <w:basedOn w:val="Normal"/>
    <w:qFormat/>
    <w:pPr/>
    <w:rPr>
      <w:sz w:val="24"/>
      <w:szCs w:val="24"/>
    </w:rPr>
  </w:style>
  <w:style w:type="paragraph" w:styleId="NormalIndent">
    <w:name w:val="Normal Indent"/>
    <w:basedOn w:val="Normal"/>
    <w:qFormat/>
    <w:pPr>
      <w:ind w:hanging="0" w:left="720" w:right="0"/>
    </w:pPr>
    <w:rPr/>
  </w:style>
  <w:style w:type="paragraph" w:styleId="NoteHeading">
    <w:name w:val="Note Heading"/>
    <w:basedOn w:val="Normal"/>
    <w:next w:val="Normal"/>
    <w:qFormat/>
    <w:pPr/>
    <w:rPr/>
  </w:style>
  <w:style w:type="paragraph" w:styleId="PlainText">
    <w:name w:val="Plain Text"/>
    <w:basedOn w:val="Normal"/>
    <w:qFormat/>
    <w:pPr/>
    <w:rPr>
      <w:rFonts w:ascii="Courier New" w:hAnsi="Courier New" w:cs="Courier New"/>
    </w:rPr>
  </w:style>
  <w:style w:type="paragraph" w:styleId="Quote">
    <w:name w:val="Quote"/>
    <w:basedOn w:val="Normal"/>
    <w:next w:val="Normal"/>
    <w:qFormat/>
    <w:pPr>
      <w:spacing w:before="200" w:after="160"/>
      <w:ind w:hanging="0" w:left="864" w:right="864"/>
      <w:jc w:val="center"/>
    </w:pPr>
    <w:rPr>
      <w:i/>
      <w:iCs/>
      <w:color w:val="404040"/>
    </w:rPr>
  </w:style>
  <w:style w:type="paragraph" w:styleId="Salutation">
    <w:name w:val="Salutation"/>
    <w:basedOn w:val="Normal"/>
    <w:next w:val="Normal"/>
    <w:qFormat/>
    <w:pPr/>
    <w:rPr/>
  </w:style>
  <w:style w:type="paragraph" w:styleId="Signature">
    <w:name w:val="Signature"/>
    <w:basedOn w:val="Normal"/>
    <w:pPr>
      <w:ind w:hanging="0" w:left="4252" w:right="0"/>
    </w:pPr>
    <w:rPr/>
  </w:style>
  <w:style w:type="paragraph" w:styleId="Subtitle">
    <w:name w:val="Subtitle"/>
    <w:basedOn w:val="Normal"/>
    <w:next w:val="Normal"/>
    <w:qFormat/>
    <w:pPr>
      <w:spacing w:before="0" w:after="60"/>
      <w:jc w:val="center"/>
      <w:outlineLvl w:val="1"/>
    </w:pPr>
    <w:rPr>
      <w:rFonts w:ascii="Calibri Light" w:hAnsi="Calibri Light" w:cs="Calibri Light"/>
      <w:sz w:val="24"/>
      <w:szCs w:val="24"/>
    </w:rPr>
  </w:style>
  <w:style w:type="paragraph" w:styleId="TableofAuthorities">
    <w:name w:val="Table of Authorities"/>
    <w:basedOn w:val="Normal"/>
    <w:next w:val="Normal"/>
    <w:qFormat/>
    <w:pPr>
      <w:ind w:hanging="200" w:left="200" w:right="0"/>
    </w:pPr>
    <w:rPr/>
  </w:style>
  <w:style w:type="paragraph" w:styleId="TableofFigures">
    <w:name w:val="Table of Figures"/>
    <w:basedOn w:val="Normal"/>
    <w:next w:val="Normal"/>
    <w:qFormat/>
    <w:pPr/>
    <w:rPr/>
  </w:style>
  <w:style w:type="paragraph" w:styleId="TOAHeading">
    <w:name w:val="TOA Heading"/>
    <w:basedOn w:val="Normal"/>
    <w:next w:val="Normal"/>
    <w:qFormat/>
    <w:pPr>
      <w:spacing w:before="120" w:after="180"/>
    </w:pPr>
    <w:rPr>
      <w:rFonts w:ascii="Calibri Light" w:hAnsi="Calibri Light" w:cs="Calibri Light"/>
      <w:b/>
      <w:bCs/>
      <w:sz w:val="24"/>
      <w:szCs w:val="24"/>
    </w:rPr>
  </w:style>
  <w:style w:type="paragraph" w:styleId="TOCHeading">
    <w:name w:val="TOC Heading"/>
    <w:basedOn w:val="Heading1"/>
    <w:next w:val="Normal"/>
    <w:qFormat/>
    <w:pPr>
      <w:keepLines w:val="false"/>
      <w:numPr>
        <w:ilvl w:val="0"/>
        <w:numId w:val="0"/>
      </w:numPr>
      <w:pBdr>
        <w:top w:val="nil"/>
      </w:pBdr>
      <w:spacing w:before="240" w:after="60"/>
      <w:ind w:hanging="0" w:left="0" w:right="0"/>
      <w:outlineLvl w:val="9"/>
    </w:pPr>
    <w:rPr>
      <w:rFonts w:ascii="Calibri Light" w:hAnsi="Calibri Light" w:cs="Calibri Light"/>
      <w:b/>
      <w:bCs/>
      <w:kern w:val="2"/>
      <w:sz w:val="32"/>
      <w:szCs w:val="32"/>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wmf"/><Relationship Id="rId4" Type="http://schemas.openxmlformats.org/officeDocument/2006/relationships/image" Target="media/image2.png"/><Relationship Id="rId5" Type="http://schemas.openxmlformats.org/officeDocument/2006/relationships/oleObject" Target="embeddings/oleObject2.bin"/><Relationship Id="rId6" Type="http://schemas.openxmlformats.org/officeDocument/2006/relationships/image" Target="media/image1.wmf"/><Relationship Id="rId7" Type="http://schemas.openxmlformats.org/officeDocument/2006/relationships/image" Target="media/image2.pn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3GPP_70.dot</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2025-07-03T15:03:00Z</dcterms:created>
  <dc:creator>MCC Support</dc:creator>
  <dc:description/>
  <cp:keywords>&lt;keyword[ keyword ]&gt;</cp:keywords>
  <dc:language>en-US</dc:language>
  <cp:lastModifiedBy>33.545_CR0017R1_(Rel-19)_5G_Femto_Sec</cp:lastModifiedBy>
  <cp:lastPrinted>2019-10-16T08:57:00Z</cp:lastPrinted>
  <dcterms:modified xsi:type="dcterms:W3CDTF">2025-07-03T15:03:00Z</dcterms:modified>
  <cp:revision>2</cp:revision>
  <dc:subject>&lt;Title 1; Title 2&gt; (Release 14 | 13 |12)</dc:subject>
  <dc:title>3GPP TS ab.cde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CCCRsImpl0">
    <vt:lpwstr>21%33.514%Rel-19%0024%33.514%Rel-19%0027%33.514%Rel-19%0030%33.514%Rel-19%0002%</vt:lpwstr>
  </property>
  <property fmtid="{D5CDD505-2E9C-101B-9397-08002B2CF9AE}" pid="3" name="MCCCRsImpl1">
    <vt:lpwstr>21%33.514%Rel-19%0034%</vt:lpwstr>
  </property>
  <property fmtid="{D5CDD505-2E9C-101B-9397-08002B2CF9AE}" pid="4" name="NSCPROP_SA">
    <vt:lpwstr>C:\Users\rajvel\Desktop\SA3#92\Contributions\SCAS\Reference\S3-18hhh_Skeleton TS 33.514_draft_v2.doc</vt:lpwstr>
  </property>
</Properties>
</file>