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embeddings/oleObject1.bin" ContentType="application/vnd.openxmlformats-officedocument.oleObject"/>
  <Override PartName="/word/embeddings/oleObject2.bin" ContentType="application/vnd.openxmlformats-officedocument.oleObject"/>
  <Override PartName="/word/media/image1.wmf" ContentType="image/x-wmf"/>
  <Override PartName="/word/media/image2.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ectPr>
          <w:type w:val="nextPage"/>
          <w:pgSz w:w="11906" w:h="16838"/>
          <w:pgMar w:left="850" w:right="850" w:gutter="0" w:header="0" w:top="2268" w:footer="0" w:bottom="10772"/>
          <w:pgNumType w:fmt="decimal"/>
          <w:formProt w:val="false"/>
          <w:textDirection w:val="lrTb"/>
          <w:docGrid w:type="default" w:linePitch="272" w:charSpace="0"/>
        </w:sectPr>
        <w:pStyle w:val="Normal"/>
        <w:rPr/>
      </w:pPr>
      <w:r>
        <w:rPr/>
      </w:r>
      <w:r>
        <mc:AlternateContent>
          <mc:Choice Requires="wps">
            <w:drawing>
              <wp:anchor behindDoc="0" distT="0" distB="0" distL="0" distR="0" simplePos="0" locked="0" layoutInCell="0" allowOverlap="1" relativeHeight="2">
                <wp:simplePos x="0" y="0"/>
                <wp:positionH relativeFrom="margin">
                  <wp:posOffset>0</wp:posOffset>
                </wp:positionH>
                <wp:positionV relativeFrom="page">
                  <wp:posOffset>720725</wp:posOffset>
                </wp:positionV>
                <wp:extent cx="6480810" cy="504190"/>
                <wp:effectExtent l="0" t="0" r="0" b="0"/>
                <wp:wrapTopAndBottom/>
                <wp:docPr id="1" name="Frame1"/>
                <a:graphic xmlns:a="http://schemas.openxmlformats.org/drawingml/2006/main">
                  <a:graphicData uri="http://schemas.microsoft.com/office/word/2010/wordprocessingShape">
                    <wps:wsp>
                      <wps:cNvSpPr txBox="1"/>
                      <wps:spPr>
                        <a:xfrm>
                          <a:off x="0" y="0"/>
                          <a:ext cx="6480810" cy="504190"/>
                        </a:xfrm>
                        <a:prstGeom prst="rect"/>
                        <a:solidFill>
                          <a:srgbClr val="FFFFFF">
                            <a:alpha val="0"/>
                          </a:srgbClr>
                        </a:solidFill>
                      </wps:spPr>
                      <wps:txbx>
                        <w:txbxContent>
                          <w:p>
                            <w:pPr>
                              <w:pStyle w:val="ZA"/>
                              <w:rPr>
                                <w:lang w:val="en-GB" w:eastAsia="en-US"/>
                              </w:rPr>
                            </w:pPr>
                            <w:bookmarkStart w:id="0" w:name="page1"/>
                            <w:bookmarkEnd w:id="0"/>
                            <w:r>
                              <w:rPr>
                                <w:sz w:val="64"/>
                                <w:lang w:val="en-GB" w:eastAsia="en-US"/>
                              </w:rPr>
                              <w:t xml:space="preserve">3GPP TS 33.515 </w:t>
                            </w:r>
                            <w:r>
                              <w:rPr>
                                <w:lang w:val="en-GB" w:eastAsia="en-US"/>
                              </w:rPr>
                              <w:t xml:space="preserve">V19.0.0 </w:t>
                            </w:r>
                            <w:r>
                              <w:rPr>
                                <w:sz w:val="32"/>
                                <w:lang w:val="en-GB" w:eastAsia="en-US"/>
                              </w:rPr>
                              <w:t>(2025-07)</w:t>
                            </w:r>
                          </w:p>
                        </w:txbxContent>
                      </wps:txbx>
                      <wps:bodyPr anchor="t" lIns="0" tIns="0" rIns="0" bIns="12700">
                        <a:noAutofit/>
                      </wps:bodyPr>
                    </wps:wsp>
                  </a:graphicData>
                </a:graphic>
              </wp:anchor>
            </w:drawing>
          </mc:Choice>
          <mc:Fallback>
            <w:pict>
              <v:rect fillcolor="#FFFFFF" style="position:absolute;rotation:-0;width:510.3pt;height:39.7pt;mso-wrap-distance-left:0pt;mso-wrap-distance-right:0pt;mso-wrap-distance-top:0pt;mso-wrap-distance-bottom:0pt;margin-top:56.75pt;mso-position-vertical-relative:page;margin-left:0pt;mso-position-horizontal-relative:margin">
                <v:fill opacity="0f"/>
                <v:textbox inset="0in,0in,0in,0.0138888888888889in">
                  <w:txbxContent>
                    <w:p>
                      <w:pPr>
                        <w:pStyle w:val="ZA"/>
                        <w:rPr>
                          <w:lang w:val="en-GB" w:eastAsia="en-US"/>
                        </w:rPr>
                      </w:pPr>
                      <w:bookmarkStart w:id="1" w:name="page1"/>
                      <w:bookmarkEnd w:id="1"/>
                      <w:r>
                        <w:rPr>
                          <w:sz w:val="64"/>
                          <w:lang w:val="en-GB" w:eastAsia="en-US"/>
                        </w:rPr>
                        <w:t xml:space="preserve">3GPP TS 33.515 </w:t>
                      </w:r>
                      <w:r>
                        <w:rPr>
                          <w:lang w:val="en-GB" w:eastAsia="en-US"/>
                        </w:rPr>
                        <w:t xml:space="preserve">V19.0.0 </w:t>
                      </w:r>
                      <w:r>
                        <w:rPr>
                          <w:sz w:val="32"/>
                          <w:lang w:val="en-GB" w:eastAsia="en-US"/>
                        </w:rPr>
                        <w:t>(2025-07)</w:t>
                      </w:r>
                    </w:p>
                  </w:txbxContent>
                </v:textbox>
                <w10:wrap type="topAndBottom"/>
              </v:rect>
            </w:pict>
          </mc:Fallback>
        </mc:AlternateContent>
      </w:r>
      <w:r>
        <mc:AlternateContent>
          <mc:Choice Requires="wps">
            <w:drawing>
              <wp:anchor behindDoc="0" distT="0" distB="0" distL="0" distR="0" simplePos="0" locked="0" layoutInCell="0" allowOverlap="1" relativeHeight="3">
                <wp:simplePos x="0" y="0"/>
                <wp:positionH relativeFrom="margin">
                  <wp:posOffset>0</wp:posOffset>
                </wp:positionH>
                <wp:positionV relativeFrom="page">
                  <wp:posOffset>1261110</wp:posOffset>
                </wp:positionV>
                <wp:extent cx="6480810" cy="180340"/>
                <wp:effectExtent l="0" t="0" r="0" b="0"/>
                <wp:wrapTopAndBottom/>
                <wp:docPr id="2" name="Frame2"/>
                <a:graphic xmlns:a="http://schemas.openxmlformats.org/drawingml/2006/main">
                  <a:graphicData uri="http://schemas.microsoft.com/office/word/2010/wordprocessingShape">
                    <wps:wsp>
                      <wps:cNvSpPr txBox="1"/>
                      <wps:spPr>
                        <a:xfrm>
                          <a:off x="0" y="0"/>
                          <a:ext cx="6480810" cy="180340"/>
                        </a:xfrm>
                        <a:prstGeom prst="rect"/>
                        <a:solidFill>
                          <a:srgbClr val="FFFFFF">
                            <a:alpha val="0"/>
                          </a:srgbClr>
                        </a:solidFill>
                      </wps:spPr>
                      <wps:txbx>
                        <w:txbxContent>
                          <w:p>
                            <w:pPr>
                              <w:pStyle w:val="ZB"/>
                              <w:rPr>
                                <w:lang w:val="en-GB" w:eastAsia="en-US"/>
                              </w:rPr>
                            </w:pPr>
                            <w:r>
                              <w:rPr>
                                <w:lang w:val="en-GB" w:eastAsia="en-US"/>
                              </w:rPr>
                              <w:t>Technical Specification</w:t>
                            </w:r>
                          </w:p>
                        </w:txbxContent>
                      </wps:txbx>
                      <wps:bodyPr anchor="t" lIns="0" tIns="0" rIns="0" bIns="0">
                        <a:noAutofit/>
                      </wps:bodyPr>
                    </wps:wsp>
                  </a:graphicData>
                </a:graphic>
              </wp:anchor>
            </w:drawing>
          </mc:Choice>
          <mc:Fallback>
            <w:pict>
              <v:rect fillcolor="#FFFFFF" style="position:absolute;rotation:-0;width:510.3pt;height:14.2pt;mso-wrap-distance-left:0pt;mso-wrap-distance-right:0pt;mso-wrap-distance-top:0pt;mso-wrap-distance-bottom:0pt;margin-top:99.3pt;mso-position-vertical-relative:page;margin-left:0pt;mso-position-horizontal-relative:margin">
                <v:fill opacity="0f"/>
                <v:textbox inset="0in,0in,0in,0in">
                  <w:txbxContent>
                    <w:p>
                      <w:pPr>
                        <w:pStyle w:val="ZB"/>
                        <w:rPr>
                          <w:lang w:val="en-GB" w:eastAsia="en-US"/>
                        </w:rPr>
                      </w:pPr>
                      <w:r>
                        <w:rPr>
                          <w:lang w:val="en-GB" w:eastAsia="en-US"/>
                        </w:rPr>
                        <w:t>Technical Specification</w:t>
                      </w:r>
                    </w:p>
                  </w:txbxContent>
                </v:textbox>
                <w10:wrap type="topAndBottom"/>
              </v:rect>
            </w:pict>
          </mc:Fallback>
        </mc:AlternateContent>
      </w:r>
      <w:r>
        <mc:AlternateContent>
          <mc:Choice Requires="wps">
            <w:drawing>
              <wp:anchor behindDoc="0" distT="0" distB="0" distL="0" distR="0" simplePos="0" locked="0" layoutInCell="0" allowOverlap="1" relativeHeight="4">
                <wp:simplePos x="0" y="0"/>
                <wp:positionH relativeFrom="page">
                  <wp:posOffset>496570</wp:posOffset>
                </wp:positionH>
                <wp:positionV relativeFrom="page">
                  <wp:posOffset>1848485</wp:posOffset>
                </wp:positionV>
                <wp:extent cx="6480810" cy="1489710"/>
                <wp:effectExtent l="0" t="0" r="0" b="0"/>
                <wp:wrapTopAndBottom/>
                <wp:docPr id="3" name="Frame3"/>
                <a:graphic xmlns:a="http://schemas.openxmlformats.org/drawingml/2006/main">
                  <a:graphicData uri="http://schemas.microsoft.com/office/word/2010/wordprocessingShape">
                    <wps:wsp>
                      <wps:cNvSpPr txBox="1"/>
                      <wps:spPr>
                        <a:xfrm>
                          <a:off x="0" y="0"/>
                          <a:ext cx="6480810" cy="1489710"/>
                        </a:xfrm>
                        <a:prstGeom prst="rect"/>
                        <a:solidFill>
                          <a:srgbClr val="FFFFFF">
                            <a:alpha val="0"/>
                          </a:srgbClr>
                        </a:solidFill>
                      </wps:spPr>
                      <wps:txbx>
                        <w:txbxContent>
                          <w:p>
                            <w:pPr>
                              <w:pStyle w:val="ZT"/>
                              <w:rPr/>
                            </w:pPr>
                            <w:r>
                              <w:rPr/>
                              <w:t>3rd Generation Partnership Project;</w:t>
                            </w:r>
                          </w:p>
                          <w:p>
                            <w:pPr>
                              <w:pStyle w:val="ZT"/>
                              <w:rPr/>
                            </w:pPr>
                            <w:r>
                              <w:rPr/>
                              <w:t>Technical Specification Group Services and System Aspects;</w:t>
                            </w:r>
                          </w:p>
                          <w:p>
                            <w:pPr>
                              <w:pStyle w:val="ZT"/>
                              <w:rPr/>
                            </w:pPr>
                            <w:r>
                              <w:rPr/>
                              <w:t>5G Security Assurance Specification (SCAS) for the Session Management Function(SMF)</w:t>
                            </w:r>
                          </w:p>
                          <w:p>
                            <w:pPr>
                              <w:pStyle w:val="ZT"/>
                              <w:rPr/>
                            </w:pPr>
                            <w:r>
                              <w:rPr/>
                              <w:t>network product class</w:t>
                            </w:r>
                          </w:p>
                          <w:p>
                            <w:pPr>
                              <w:pStyle w:val="ZT"/>
                              <w:rPr>
                                <w:i/>
                                <w:i/>
                                <w:sz w:val="28"/>
                              </w:rPr>
                            </w:pPr>
                            <w:r>
                              <w:rPr/>
                              <w:t>(</w:t>
                            </w:r>
                            <w:r>
                              <w:rPr>
                                <w:rStyle w:val="ZGSM"/>
                              </w:rPr>
                              <w:t>Release 19</w:t>
                            </w:r>
                            <w:r>
                              <w:rPr/>
                              <w:t>)</w:t>
                            </w:r>
                          </w:p>
                        </w:txbxContent>
                      </wps:txbx>
                      <wps:bodyPr anchor="t" lIns="0" tIns="0" rIns="0" bIns="0">
                        <a:noAutofit/>
                      </wps:bodyPr>
                    </wps:wsp>
                  </a:graphicData>
                </a:graphic>
              </wp:anchor>
            </w:drawing>
          </mc:Choice>
          <mc:Fallback>
            <w:pict>
              <v:rect fillcolor="#FFFFFF" style="position:absolute;rotation:-0;width:510.3pt;height:117.3pt;mso-wrap-distance-left:0pt;mso-wrap-distance-right:0pt;mso-wrap-distance-top:0pt;mso-wrap-distance-bottom:0pt;margin-top:145.55pt;mso-position-vertical-relative:page;margin-left:39.1pt;mso-position-horizontal-relative:page">
                <v:fill opacity="0f"/>
                <v:textbox inset="0in,0in,0in,0in">
                  <w:txbxContent>
                    <w:p>
                      <w:pPr>
                        <w:pStyle w:val="ZT"/>
                        <w:rPr/>
                      </w:pPr>
                      <w:r>
                        <w:rPr/>
                        <w:t>3rd Generation Partnership Project;</w:t>
                      </w:r>
                    </w:p>
                    <w:p>
                      <w:pPr>
                        <w:pStyle w:val="ZT"/>
                        <w:rPr/>
                      </w:pPr>
                      <w:r>
                        <w:rPr/>
                        <w:t>Technical Specification Group Services and System Aspects;</w:t>
                      </w:r>
                    </w:p>
                    <w:p>
                      <w:pPr>
                        <w:pStyle w:val="ZT"/>
                        <w:rPr/>
                      </w:pPr>
                      <w:r>
                        <w:rPr/>
                        <w:t>5G Security Assurance Specification (SCAS) for the Session Management Function(SMF)</w:t>
                      </w:r>
                    </w:p>
                    <w:p>
                      <w:pPr>
                        <w:pStyle w:val="ZT"/>
                        <w:rPr/>
                      </w:pPr>
                      <w:r>
                        <w:rPr/>
                        <w:t>network product class</w:t>
                      </w:r>
                    </w:p>
                    <w:p>
                      <w:pPr>
                        <w:pStyle w:val="ZT"/>
                        <w:rPr>
                          <w:i/>
                          <w:i/>
                          <w:sz w:val="28"/>
                        </w:rPr>
                      </w:pPr>
                      <w:r>
                        <w:rPr/>
                        <w:t>(</w:t>
                      </w:r>
                      <w:r>
                        <w:rPr>
                          <w:rStyle w:val="ZGSM"/>
                        </w:rPr>
                        <w:t>Release 19</w:t>
                      </w:r>
                      <w:r>
                        <w:rPr/>
                        <w:t>)</w:t>
                      </w:r>
                    </w:p>
                  </w:txbxContent>
                </v:textbox>
                <w10:wrap type="topAndBottom"/>
              </v:rect>
            </w:pict>
          </mc:Fallback>
        </mc:AlternateContent>
      </w:r>
      <w:r>
        <mc:AlternateContent>
          <mc:Choice Requires="wps">
            <w:drawing>
              <wp:anchor behindDoc="0" distT="0" distB="0" distL="0" distR="0" simplePos="0" locked="0" layoutInCell="0" allowOverlap="1" relativeHeight="5">
                <wp:simplePos x="0" y="0"/>
                <wp:positionH relativeFrom="margin">
                  <wp:posOffset>0</wp:posOffset>
                </wp:positionH>
                <wp:positionV relativeFrom="page">
                  <wp:posOffset>3961130</wp:posOffset>
                </wp:positionV>
                <wp:extent cx="6480810" cy="3129915"/>
                <wp:effectExtent l="0" t="0" r="0" b="0"/>
                <wp:wrapTopAndBottom/>
                <wp:docPr id="4" name="Frame4"/>
                <a:graphic xmlns:a="http://schemas.openxmlformats.org/drawingml/2006/main">
                  <a:graphicData uri="http://schemas.microsoft.com/office/word/2010/wordprocessingShape">
                    <wps:wsp>
                      <wps:cNvSpPr txBox="1"/>
                      <wps:spPr>
                        <a:xfrm>
                          <a:off x="0" y="0"/>
                          <a:ext cx="6480810" cy="3129915"/>
                        </a:xfrm>
                        <a:prstGeom prst="rect"/>
                        <a:solidFill>
                          <a:srgbClr val="FFFFFF">
                            <a:alpha val="0"/>
                          </a:srgbClr>
                        </a:solidFill>
                      </wps:spPr>
                      <wps:txbx>
                        <w:txbxContent>
                          <w:p>
                            <w:pPr>
                              <w:pStyle w:val="ZU"/>
                              <w:tabs>
                                <w:tab w:val="clear" w:pos="284"/>
                                <w:tab w:val="right" w:pos="10206" w:leader="none"/>
                              </w:tabs>
                              <w:jc w:val="left"/>
                              <w:rPr>
                                <w:color w:val="0000FF"/>
                                <w:lang w:val="en-GB" w:eastAsia="en-US"/>
                              </w:rPr>
                            </w:pPr>
                            <w:r>
                              <w:rPr>
                                <w:color w:val="0000FF"/>
                                <w:lang w:val="en-GB" w:eastAsia="en-US"/>
                              </w:rPr>
                              <w:tab/>
                            </w:r>
                          </w:p>
                          <w:p>
                            <w:pPr>
                              <w:pStyle w:val="ZU"/>
                              <w:tabs>
                                <w:tab w:val="clear" w:pos="284"/>
                                <w:tab w:val="right" w:pos="10206" w:leader="none"/>
                              </w:tabs>
                              <w:jc w:val="left"/>
                              <w:rPr>
                                <w:color w:val="0000FF"/>
                                <w:lang w:val="en-GB" w:eastAsia="en-US"/>
                              </w:rPr>
                            </w:pPr>
                            <w:r>
                              <w:rPr>
                                <w:color w:val="0000FF"/>
                                <w:lang w:val="en-GB" w:eastAsia="en-US"/>
                              </w:rPr>
                            </w:r>
                          </w:p>
                          <w:p>
                            <w:pPr>
                              <w:pStyle w:val="ZU"/>
                              <w:tabs>
                                <w:tab w:val="clear" w:pos="284"/>
                                <w:tab w:val="right" w:pos="10206" w:leader="none"/>
                              </w:tabs>
                              <w:jc w:val="left"/>
                              <w:rPr>
                                <w:lang w:val="en-GB" w:eastAsia="en-US"/>
                              </w:rPr>
                            </w:pPr>
                            <w:r>
                              <w:rPr>
                                <w:rFonts w:eastAsia="Arial"/>
                                <w:i/>
                                <w:lang w:val="en-GB" w:eastAsia="en-US"/>
                              </w:rPr>
                              <w:t xml:space="preserve">  </w:t>
                            </w:r>
                            <w:bookmarkStart w:id="2" w:name="_1684549432"/>
                            <w:bookmarkStart w:id="3" w:name="_MON_1684549432"/>
                            <w:bookmarkEnd w:id="2"/>
                            <w:bookmarkEnd w:id="3"/>
                            <w:r>
                              <w:rPr>
                                <w:i/>
                                <w:lang w:val="en-GB" w:eastAsia="en-US"/>
                              </w:rPr>
                              <w:object w:dxaOrig="2026" w:dyaOrig="1251">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102.5pt;height:62.8pt" filled="f" o:ole="">
                                  <v:imagedata r:id="rId3" o:title=""/>
                                </v:shape>
                                <o:OLEObject Type="Embed" ProgID="" ShapeID="ole_rId2" DrawAspect="Content" ObjectID="_966786553" r:id="rId2"/>
                              </w:object>
                            </w:r>
                            <w:r>
                              <w:rPr>
                                <w:color w:val="0000FF"/>
                                <w:lang w:val="en-GB" w:eastAsia="en-US"/>
                              </w:rPr>
                              <w:tab/>
                            </w:r>
                            <w:r>
                              <w:rPr>
                                <w:lang w:val="en-GB" w:eastAsia="en-US"/>
                              </w:rPr>
                              <w:drawing>
                                <wp:inline distT="0" distB="0" distL="0" distR="0">
                                  <wp:extent cx="1624965" cy="951230"/>
                                  <wp:effectExtent l="0" t="0" r="0" b="0"/>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4"/>
                                          <a:srcRect l="-13" t="-23" r="-13" b="-23"/>
                                          <a:stretch>
                                            <a:fillRect/>
                                          </a:stretch>
                                        </pic:blipFill>
                                        <pic:spPr bwMode="auto">
                                          <a:xfrm>
                                            <a:off x="0" y="0"/>
                                            <a:ext cx="1624965" cy="951230"/>
                                          </a:xfrm>
                                          <a:prstGeom prst="rect">
                                            <a:avLst/>
                                          </a:prstGeom>
                                        </pic:spPr>
                                      </pic:pic>
                                    </a:graphicData>
                                  </a:graphic>
                                </wp:inline>
                              </w:drawing>
                            </w:r>
                          </w:p>
                          <w:p>
                            <w:pPr>
                              <w:pStyle w:val="ZU"/>
                              <w:tabs>
                                <w:tab w:val="clear" w:pos="284"/>
                                <w:tab w:val="right" w:pos="10206" w:leader="none"/>
                              </w:tabs>
                              <w:jc w:val="left"/>
                              <w:rPr>
                                <w:lang w:val="en-GB" w:eastAsia="en-US"/>
                              </w:rPr>
                            </w:pPr>
                            <w:r>
                              <w:rPr>
                                <w:lang w:val="en-GB" w:eastAsia="en-US"/>
                              </w:rPr>
                            </w:r>
                          </w:p>
                        </w:txbxContent>
                      </wps:txbx>
                      <wps:bodyPr anchor="t" lIns="0" tIns="12700" rIns="0" bIns="0">
                        <a:noAutofit/>
                      </wps:bodyPr>
                    </wps:wsp>
                  </a:graphicData>
                </a:graphic>
              </wp:anchor>
            </w:drawing>
          </mc:Choice>
          <mc:Fallback>
            <w:pict>
              <v:rect fillcolor="#FFFFFF" style="position:absolute;rotation:-0;width:510.3pt;height:246.4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U"/>
                        <w:tabs>
                          <w:tab w:val="clear" w:pos="284"/>
                          <w:tab w:val="right" w:pos="10206" w:leader="none"/>
                        </w:tabs>
                        <w:jc w:val="left"/>
                        <w:rPr>
                          <w:color w:val="0000FF"/>
                          <w:lang w:val="en-GB" w:eastAsia="en-US"/>
                        </w:rPr>
                      </w:pPr>
                      <w:r>
                        <w:rPr>
                          <w:color w:val="0000FF"/>
                          <w:lang w:val="en-GB" w:eastAsia="en-US"/>
                        </w:rPr>
                        <w:tab/>
                      </w:r>
                    </w:p>
                    <w:p>
                      <w:pPr>
                        <w:pStyle w:val="ZU"/>
                        <w:tabs>
                          <w:tab w:val="clear" w:pos="284"/>
                          <w:tab w:val="right" w:pos="10206" w:leader="none"/>
                        </w:tabs>
                        <w:jc w:val="left"/>
                        <w:rPr>
                          <w:color w:val="0000FF"/>
                          <w:lang w:val="en-GB" w:eastAsia="en-US"/>
                        </w:rPr>
                      </w:pPr>
                      <w:r>
                        <w:rPr>
                          <w:color w:val="0000FF"/>
                          <w:lang w:val="en-GB" w:eastAsia="en-US"/>
                        </w:rPr>
                      </w:r>
                    </w:p>
                    <w:p>
                      <w:pPr>
                        <w:pStyle w:val="ZU"/>
                        <w:tabs>
                          <w:tab w:val="clear" w:pos="284"/>
                          <w:tab w:val="right" w:pos="10206" w:leader="none"/>
                        </w:tabs>
                        <w:jc w:val="left"/>
                        <w:rPr>
                          <w:lang w:val="en-GB" w:eastAsia="en-US"/>
                        </w:rPr>
                      </w:pPr>
                      <w:r>
                        <w:rPr>
                          <w:rFonts w:eastAsia="Arial"/>
                          <w:i/>
                          <w:lang w:val="en-GB" w:eastAsia="en-US"/>
                        </w:rPr>
                        <w:t xml:space="preserve">  </w:t>
                      </w:r>
                      <w:bookmarkStart w:id="4" w:name="_1684549432"/>
                      <w:bookmarkStart w:id="5" w:name="_MON_1684549432"/>
                      <w:bookmarkEnd w:id="4"/>
                      <w:bookmarkEnd w:id="5"/>
                      <w:r>
                        <w:rPr>
                          <w:i/>
                          <w:lang w:val="en-GB" w:eastAsia="en-US"/>
                        </w:rPr>
                        <w:object w:dxaOrig="2026" w:dyaOrig="1251">
                          <v:shapetype id="_x0000_tole_rId5" coordsize="21600,21600" o:spt="ole_rId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102.5pt;height:62.8pt" filled="f" o:ole="">
                            <v:imagedata r:id="rId6" o:title=""/>
                          </v:shape>
                          <o:OLEObject Type="Embed" ProgID="" ShapeID="ole_rId5" DrawAspect="Content" ObjectID="_1965416720" r:id="rId5"/>
                        </w:object>
                      </w:r>
                      <w:r>
                        <w:rPr>
                          <w:color w:val="0000FF"/>
                          <w:lang w:val="en-GB" w:eastAsia="en-US"/>
                        </w:rPr>
                        <w:tab/>
                      </w:r>
                      <w:r>
                        <w:rPr>
                          <w:lang w:val="en-GB" w:eastAsia="en-US"/>
                        </w:rPr>
                        <w:drawing>
                          <wp:inline distT="0" distB="0" distL="0" distR="0">
                            <wp:extent cx="1624965" cy="951230"/>
                            <wp:effectExtent l="0" t="0" r="0" b="0"/>
                            <wp:docPr id="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pic:cNvPicPr>
                                      <a:picLocks noChangeAspect="1" noChangeArrowheads="1"/>
                                    </pic:cNvPicPr>
                                  </pic:nvPicPr>
                                  <pic:blipFill>
                                    <a:blip r:embed="rId7"/>
                                    <a:srcRect l="-13" t="-23" r="-13" b="-23"/>
                                    <a:stretch>
                                      <a:fillRect/>
                                    </a:stretch>
                                  </pic:blipFill>
                                  <pic:spPr bwMode="auto">
                                    <a:xfrm>
                                      <a:off x="0" y="0"/>
                                      <a:ext cx="1624965" cy="951230"/>
                                    </a:xfrm>
                                    <a:prstGeom prst="rect">
                                      <a:avLst/>
                                    </a:prstGeom>
                                  </pic:spPr>
                                </pic:pic>
                              </a:graphicData>
                            </a:graphic>
                          </wp:inline>
                        </w:drawing>
                      </w:r>
                    </w:p>
                    <w:p>
                      <w:pPr>
                        <w:pStyle w:val="ZU"/>
                        <w:tabs>
                          <w:tab w:val="clear" w:pos="284"/>
                          <w:tab w:val="right" w:pos="10206" w:leader="none"/>
                        </w:tabs>
                        <w:jc w:val="left"/>
                        <w:rPr>
                          <w:lang w:val="en-GB" w:eastAsia="en-US"/>
                        </w:rPr>
                      </w:pPr>
                      <w:r>
                        <w:rPr>
                          <w:lang w:val="en-GB" w:eastAsia="en-US"/>
                        </w:rPr>
                      </w:r>
                    </w:p>
                  </w:txbxContent>
                </v:textbox>
                <w10:wrap type="topAndBottom"/>
              </v:rect>
            </w:pict>
          </mc:Fallback>
        </mc:AlternateContent>
      </w:r>
      <w:r>
        <mc:AlternateContent>
          <mc:Choice Requires="wps">
            <w:drawing>
              <wp:anchor behindDoc="0" distT="0" distB="0" distL="0" distR="0" simplePos="0" locked="0" layoutInCell="0" allowOverlap="1" relativeHeight="8">
                <wp:simplePos x="0" y="0"/>
                <wp:positionH relativeFrom="margin">
                  <wp:align>left</wp:align>
                </wp:positionH>
                <wp:positionV relativeFrom="page">
                  <wp:posOffset>9718675</wp:posOffset>
                </wp:positionV>
                <wp:extent cx="6377940" cy="874395"/>
                <wp:effectExtent l="0" t="0" r="0" b="0"/>
                <wp:wrapTopAndBottom/>
                <wp:docPr id="7" name="Frame5"/>
                <a:graphic xmlns:a="http://schemas.openxmlformats.org/drawingml/2006/main">
                  <a:graphicData uri="http://schemas.microsoft.com/office/word/2010/wordprocessingShape">
                    <wps:wsp>
                      <wps:cNvSpPr txBox="1"/>
                      <wps:spPr>
                        <a:xfrm>
                          <a:off x="0" y="0"/>
                          <a:ext cx="6377940" cy="874395"/>
                        </a:xfrm>
                        <a:prstGeom prst="rect"/>
                        <a:solidFill>
                          <a:srgbClr val="FFFFFF">
                            <a:alpha val="0"/>
                          </a:srgbClr>
                        </a:solidFill>
                      </wps:spPr>
                      <wps:txbx>
                        <w:txbxContent>
                          <w:p>
                            <w:pPr>
                              <w:pStyle w:val="Normal"/>
                              <w:widowControl/>
                              <w:overflowPunct w:val="false"/>
                              <w:autoSpaceDE w:val="false"/>
                              <w:bidi w:val="0"/>
                              <w:spacing w:before="0" w:after="180"/>
                              <w:textAlignment w:val="baseline"/>
                              <w:rPr/>
                            </w:pPr>
                            <w:r>
                              <w:rPr>
                                <w:sz w:val="16"/>
                              </w:rPr>
                              <w:t>The present document has been developed within the 3rd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wps:txbx>
                      <wps:bodyPr anchor="t" lIns="0" tIns="0" rIns="0" bIns="0">
                        <a:noAutofit/>
                      </wps:bodyPr>
                    </wps:wsp>
                  </a:graphicData>
                </a:graphic>
              </wp:anchor>
            </w:drawing>
          </mc:Choice>
          <mc:Fallback>
            <w:pict>
              <v:rect fillcolor="#FFFFFF" style="position:absolute;rotation:-0;width:502.2pt;height:68.85pt;mso-wrap-distance-left:0pt;mso-wrap-distance-right:0pt;mso-wrap-distance-top:0pt;mso-wrap-distance-bottom:0pt;margin-top:765.25pt;mso-position-vertical-relative:page;margin-left:0pt;mso-position-horizontal:left;mso-position-horizontal-relative:margin">
                <v:fill opacity="0f"/>
                <v:textbox inset="0in,0in,0in,0in">
                  <w:txbxContent>
                    <w:p>
                      <w:pPr>
                        <w:pStyle w:val="Normal"/>
                        <w:widowControl/>
                        <w:overflowPunct w:val="false"/>
                        <w:autoSpaceDE w:val="false"/>
                        <w:bidi w:val="0"/>
                        <w:spacing w:before="0" w:after="180"/>
                        <w:textAlignment w:val="baseline"/>
                        <w:rPr/>
                      </w:pPr>
                      <w:r>
                        <w:rPr>
                          <w:sz w:val="16"/>
                        </w:rPr>
                        <w:t>The present document has been developed within the 3rd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v:textbox>
                <w10:wrap type="topAndBottom"/>
              </v:rect>
            </w:pict>
          </mc:Fallback>
        </mc:AlternateContent>
      </w:r>
      <w:r>
        <mc:AlternateContent>
          <mc:Choice Requires="wps">
            <w:drawing>
              <wp:anchor behindDoc="0" distT="0" distB="0" distL="0" distR="0" simplePos="0" locked="0" layoutInCell="0" allowOverlap="1" relativeHeight="9">
                <wp:simplePos x="0" y="0"/>
                <wp:positionH relativeFrom="margin">
                  <wp:posOffset>0</wp:posOffset>
                </wp:positionH>
                <wp:positionV relativeFrom="page">
                  <wp:posOffset>3961130</wp:posOffset>
                </wp:positionV>
                <wp:extent cx="6480810" cy="209550"/>
                <wp:effectExtent l="0" t="0" r="0" b="0"/>
                <wp:wrapTopAndBottom/>
                <wp:docPr id="8" name="Frame6"/>
                <a:graphic xmlns:a="http://schemas.openxmlformats.org/drawingml/2006/main">
                  <a:graphicData uri="http://schemas.microsoft.com/office/word/2010/wordprocessingShape">
                    <wps:wsp>
                      <wps:cNvSpPr txBox="1"/>
                      <wps:spPr>
                        <a:xfrm>
                          <a:off x="0" y="0"/>
                          <a:ext cx="6480810" cy="209550"/>
                        </a:xfrm>
                        <a:prstGeom prst="rect"/>
                        <a:solidFill>
                          <a:srgbClr val="FFFFFF">
                            <a:alpha val="0"/>
                          </a:srgbClr>
                        </a:solidFill>
                      </wps:spPr>
                      <wps:txbx>
                        <w:txbxContent>
                          <w:p>
                            <w:pPr>
                              <w:pStyle w:val="ZV"/>
                              <w:rPr>
                                <w:lang w:val="en-GB" w:eastAsia="en-US"/>
                              </w:rPr>
                            </w:pPr>
                            <w:r>
                              <w:rPr>
                                <w:lang w:val="en-GB" w:eastAsia="en-US"/>
                              </w:rPr>
                            </w:r>
                          </w:p>
                        </w:txbxContent>
                      </wps:txbx>
                      <wps:bodyPr anchor="t" lIns="0" tIns="12700" rIns="0" bIns="0">
                        <a:noAutofit/>
                      </wps:bodyPr>
                    </wps:wsp>
                  </a:graphicData>
                </a:graphic>
              </wp:anchor>
            </w:drawing>
          </mc:Choice>
          <mc:Fallback>
            <w:pict>
              <v:rect fillcolor="#FFFFFF" style="position:absolute;rotation:-0;width:510.3pt;height:16.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V"/>
                        <w:rPr>
                          <w:lang w:val="en-GB" w:eastAsia="en-US"/>
                        </w:rPr>
                      </w:pPr>
                      <w:r>
                        <w:rPr>
                          <w:lang w:val="en-GB" w:eastAsia="en-US"/>
                        </w:rPr>
                      </w:r>
                    </w:p>
                  </w:txbxContent>
                </v:textbox>
                <w10:wrap type="topAndBottom"/>
              </v:rect>
            </w:pict>
          </mc:Fallback>
        </mc:AlternateContent>
      </w:r>
    </w:p>
    <w:p>
      <w:pPr>
        <w:pStyle w:val="Normal"/>
        <w:rPr/>
      </w:pPr>
      <w:bookmarkStart w:id="6" w:name="page2"/>
      <w:bookmarkEnd w:id="6"/>
      <w:r>
        <w:rPr/>
        <w:br/>
      </w:r>
    </w:p>
    <w:p>
      <w:pPr>
        <w:pStyle w:val="Normal"/>
        <w:rPr/>
      </w:pPr>
      <w:r>
        <w:rPr/>
      </w:r>
      <w:r>
        <mc:AlternateContent>
          <mc:Choice Requires="wps">
            <w:drawing>
              <wp:anchor behindDoc="0" distT="0" distB="0" distL="0" distR="0" simplePos="0" locked="0" layoutInCell="0" allowOverlap="1" relativeHeight="10">
                <wp:simplePos x="0" y="0"/>
                <wp:positionH relativeFrom="margin">
                  <wp:align>left</wp:align>
                </wp:positionH>
                <wp:positionV relativeFrom="page">
                  <wp:posOffset>1800860</wp:posOffset>
                </wp:positionV>
                <wp:extent cx="6120130" cy="452755"/>
                <wp:effectExtent l="0" t="0" r="0" b="0"/>
                <wp:wrapTopAndBottom/>
                <wp:docPr id="9" name="Frame7"/>
                <a:graphic xmlns:a="http://schemas.openxmlformats.org/drawingml/2006/main">
                  <a:graphicData uri="http://schemas.microsoft.com/office/word/2010/wordprocessingShape">
                    <wps:wsp>
                      <wps:cNvSpPr txBox="1"/>
                      <wps:spPr>
                        <a:xfrm>
                          <a:off x="0" y="0"/>
                          <a:ext cx="6120130" cy="452755"/>
                        </a:xfrm>
                        <a:prstGeom prst="rect"/>
                        <a:solidFill>
                          <a:srgbClr val="FFFFFF">
                            <a:alpha val="0"/>
                          </a:srgbClr>
                        </a:solidFill>
                      </wps:spPr>
                      <wps:txbx>
                        <w:txbxContent>
                          <w:p>
                            <w:pPr>
                              <w:pStyle w:val="FP"/>
                              <w:spacing w:before="240" w:after="0"/>
                              <w:ind w:left="2835" w:right="2835"/>
                              <w:jc w:val="center"/>
                              <w:rPr/>
                            </w:pPr>
                            <w:r>
                              <w:rPr/>
                              <w:t>Keywords</w:t>
                            </w:r>
                          </w:p>
                          <w:p>
                            <w:pPr>
                              <w:pStyle w:val="FP"/>
                              <w:ind w:left="2835" w:right="2835"/>
                              <w:jc w:val="center"/>
                              <w:rPr>
                                <w:rFonts w:ascii="Arial" w:hAnsi="Arial" w:cs="Arial"/>
                                <w:sz w:val="18"/>
                              </w:rPr>
                            </w:pPr>
                            <w:r>
                              <w:rPr>
                                <w:rFonts w:cs="Arial" w:ascii="Arial" w:hAnsi="Arial"/>
                                <w:sz w:val="18"/>
                              </w:rPr>
                              <w:t>5G, Security, Assurance, SMF, product, class</w:t>
                            </w:r>
                          </w:p>
                        </w:txbxContent>
                      </wps:txbx>
                      <wps:bodyPr anchor="t" lIns="0" tIns="0" rIns="0" bIns="12700">
                        <a:noAutofit/>
                      </wps:bodyPr>
                    </wps:wsp>
                  </a:graphicData>
                </a:graphic>
              </wp:anchor>
            </w:drawing>
          </mc:Choice>
          <mc:Fallback>
            <w:pict>
              <v:rect fillcolor="#FFFFFF" style="position:absolute;rotation:-0;width:481.9pt;height:35.65pt;mso-wrap-distance-left:0pt;mso-wrap-distance-right:0pt;mso-wrap-distance-top:0pt;mso-wrap-distance-bottom:0pt;margin-top:141.8pt;mso-position-vertical-relative:page;margin-left:0pt;mso-position-horizontal:left;mso-position-horizontal-relative:margin">
                <v:fill opacity="0f"/>
                <v:textbox inset="0in,0in,0in,0.0138888888888889in">
                  <w:txbxContent>
                    <w:p>
                      <w:pPr>
                        <w:pStyle w:val="FP"/>
                        <w:spacing w:before="240" w:after="0"/>
                        <w:ind w:left="2835" w:right="2835"/>
                        <w:jc w:val="center"/>
                        <w:rPr/>
                      </w:pPr>
                      <w:r>
                        <w:rPr/>
                        <w:t>Keywords</w:t>
                      </w:r>
                    </w:p>
                    <w:p>
                      <w:pPr>
                        <w:pStyle w:val="FP"/>
                        <w:ind w:left="2835" w:right="2835"/>
                        <w:jc w:val="center"/>
                        <w:rPr>
                          <w:rFonts w:ascii="Arial" w:hAnsi="Arial" w:cs="Arial"/>
                          <w:sz w:val="18"/>
                        </w:rPr>
                      </w:pPr>
                      <w:r>
                        <w:rPr>
                          <w:rFonts w:cs="Arial" w:ascii="Arial" w:hAnsi="Arial"/>
                          <w:sz w:val="18"/>
                        </w:rPr>
                        <w:t>5G, Security, Assurance, SMF, product, class</w:t>
                      </w:r>
                    </w:p>
                  </w:txbxContent>
                </v:textbox>
                <w10:wrap type="topAndBottom"/>
              </v:rect>
            </w:pict>
          </mc:Fallback>
        </mc:AlternateContent>
      </w:r>
    </w:p>
    <w:p>
      <w:pPr>
        <w:pStyle w:val="Normal"/>
        <w:rPr/>
      </w:pPr>
      <w:r>
        <w:rPr/>
      </w:r>
      <w:r>
        <mc:AlternateContent>
          <mc:Choice Requires="wps">
            <w:drawing>
              <wp:anchor behindDoc="0" distT="0" distB="0" distL="0" distR="0" simplePos="0" locked="0" layoutInCell="0" allowOverlap="1" relativeHeight="11">
                <wp:simplePos x="0" y="0"/>
                <wp:positionH relativeFrom="margin">
                  <wp:align>left</wp:align>
                </wp:positionH>
                <wp:positionV relativeFrom="margin">
                  <wp:align>center</wp:align>
                </wp:positionV>
                <wp:extent cx="6120130" cy="1779905"/>
                <wp:effectExtent l="0" t="0" r="0" b="0"/>
                <wp:wrapTopAndBottom/>
                <wp:docPr id="10" name="Frame8"/>
                <a:graphic xmlns:a="http://schemas.openxmlformats.org/drawingml/2006/main">
                  <a:graphicData uri="http://schemas.microsoft.com/office/word/2010/wordprocessingShape">
                    <wps:wsp>
                      <wps:cNvSpPr txBox="1"/>
                      <wps:spPr>
                        <a:xfrm>
                          <a:off x="0" y="0"/>
                          <a:ext cx="6120130" cy="1779905"/>
                        </a:xfrm>
                        <a:prstGeom prst="rect"/>
                        <a:solidFill>
                          <a:srgbClr val="FFFFFF">
                            <a:alpha val="0"/>
                          </a:srgbClr>
                        </a:solidFill>
                      </wps:spPr>
                      <wps:txbx>
                        <w:txbxContent>
                          <w:p>
                            <w:pPr>
                              <w:pStyle w:val="FP"/>
                              <w:spacing w:before="0" w:after="240"/>
                              <w:ind w:left="2835" w:right="2835"/>
                              <w:jc w:val="center"/>
                              <w:rPr>
                                <w:rFonts w:ascii="Arial" w:hAnsi="Arial" w:cs="Arial"/>
                                <w:b/>
                                <w:i/>
                                <w:i/>
                              </w:rPr>
                            </w:pPr>
                            <w:r>
                              <w:rPr>
                                <w:rFonts w:cs="Arial" w:ascii="Arial" w:hAnsi="Arial"/>
                                <w:b/>
                                <w:i/>
                              </w:rPr>
                              <w:t>3GPP</w:t>
                            </w:r>
                          </w:p>
                          <w:p>
                            <w:pPr>
                              <w:pStyle w:val="FP"/>
                              <w:pBdr>
                                <w:bottom w:val="single" w:sz="6" w:space="1" w:color="000000"/>
                              </w:pBdr>
                              <w:ind w:left="2835" w:right="2835"/>
                              <w:jc w:val="center"/>
                              <w:rPr/>
                            </w:pPr>
                            <w:r>
                              <w:rPr/>
                              <w:t>Postal address</w:t>
                            </w:r>
                          </w:p>
                          <w:p>
                            <w:pPr>
                              <w:pStyle w:val="FP"/>
                              <w:ind w:left="2835" w:right="2835"/>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jc w:val="center"/>
                              <w:rPr/>
                            </w:pPr>
                            <w:r>
                              <w:rPr/>
                              <w:t>3GPP support office address</w:t>
                            </w:r>
                          </w:p>
                          <w:p>
                            <w:pPr>
                              <w:pStyle w:val="FP"/>
                              <w:ind w:left="2835" w:right="2835"/>
                              <w:jc w:val="center"/>
                              <w:rPr/>
                            </w:pPr>
                            <w:r>
                              <w:rPr>
                                <w:rFonts w:cs="Arial" w:ascii="Arial" w:hAnsi="Arial"/>
                                <w:sz w:val="18"/>
                              </w:rPr>
                              <w:t>650 Route des Lucioles - Sophia Antipolis</w:t>
                            </w:r>
                          </w:p>
                          <w:p>
                            <w:pPr>
                              <w:pStyle w:val="FP"/>
                              <w:ind w:left="2835" w:right="2835"/>
                              <w:jc w:val="center"/>
                              <w:rPr>
                                <w:rFonts w:ascii="Arial" w:hAnsi="Arial" w:cs="Arial"/>
                                <w:sz w:val="18"/>
                              </w:rPr>
                            </w:pPr>
                            <w:r>
                              <w:rPr>
                                <w:rFonts w:cs="Arial" w:ascii="Arial" w:hAnsi="Arial"/>
                                <w:sz w:val="18"/>
                              </w:rPr>
                              <w:t>Valbonne - FRANCE</w:t>
                            </w:r>
                          </w:p>
                          <w:p>
                            <w:pPr>
                              <w:pStyle w:val="FP"/>
                              <w:spacing w:before="0" w:after="20"/>
                              <w:ind w:left="2835" w:right="2835"/>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jc w:val="center"/>
                              <w:rPr/>
                            </w:pPr>
                            <w:r>
                              <w:rPr/>
                              <w:t>Internet</w:t>
                            </w:r>
                          </w:p>
                          <w:p>
                            <w:pPr>
                              <w:pStyle w:val="FP"/>
                              <w:ind w:left="2835" w:right="2835"/>
                              <w:jc w:val="center"/>
                              <w:rPr>
                                <w:rFonts w:ascii="Arial" w:hAnsi="Arial" w:cs="Arial"/>
                                <w:sz w:val="18"/>
                              </w:rPr>
                            </w:pPr>
                            <w:r>
                              <w:rPr>
                                <w:rFonts w:cs="Arial" w:ascii="Arial" w:hAnsi="Arial"/>
                                <w:sz w:val="18"/>
                              </w:rPr>
                              <w:t>http://www.3gpp.org</w:t>
                            </w:r>
                          </w:p>
                        </w:txbxContent>
                      </wps:txbx>
                      <wps:bodyPr anchor="t" lIns="0" tIns="0" rIns="0" bIns="0">
                        <a:noAutofit/>
                      </wps:bodyPr>
                    </wps:wsp>
                  </a:graphicData>
                </a:graphic>
              </wp:anchor>
            </w:drawing>
          </mc:Choice>
          <mc:Fallback>
            <w:pict>
              <v:rect fillcolor="#FFFFFF" style="position:absolute;rotation:-0;width:481.9pt;height:140.15pt;mso-wrap-distance-left:0pt;mso-wrap-distance-right:0pt;mso-wrap-distance-top:0pt;mso-wrap-distance-bottom:0pt;margin-top:287.1pt;mso-position-vertical:center;mso-position-vertical-relative:margin;margin-left:0pt;mso-position-horizontal:left;mso-position-horizontal-relative:margin">
                <v:fill opacity="0f"/>
                <v:textbox inset="0in,0in,0in,0in">
                  <w:txbxContent>
                    <w:p>
                      <w:pPr>
                        <w:pStyle w:val="FP"/>
                        <w:spacing w:before="0" w:after="240"/>
                        <w:ind w:left="2835" w:right="2835"/>
                        <w:jc w:val="center"/>
                        <w:rPr>
                          <w:rFonts w:ascii="Arial" w:hAnsi="Arial" w:cs="Arial"/>
                          <w:b/>
                          <w:i/>
                          <w:i/>
                        </w:rPr>
                      </w:pPr>
                      <w:r>
                        <w:rPr>
                          <w:rFonts w:cs="Arial" w:ascii="Arial" w:hAnsi="Arial"/>
                          <w:b/>
                          <w:i/>
                        </w:rPr>
                        <w:t>3GPP</w:t>
                      </w:r>
                    </w:p>
                    <w:p>
                      <w:pPr>
                        <w:pStyle w:val="FP"/>
                        <w:pBdr>
                          <w:bottom w:val="single" w:sz="6" w:space="1" w:color="000000"/>
                        </w:pBdr>
                        <w:ind w:left="2835" w:right="2835"/>
                        <w:jc w:val="center"/>
                        <w:rPr/>
                      </w:pPr>
                      <w:r>
                        <w:rPr/>
                        <w:t>Postal address</w:t>
                      </w:r>
                    </w:p>
                    <w:p>
                      <w:pPr>
                        <w:pStyle w:val="FP"/>
                        <w:ind w:left="2835" w:right="2835"/>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jc w:val="center"/>
                        <w:rPr/>
                      </w:pPr>
                      <w:r>
                        <w:rPr/>
                        <w:t>3GPP support office address</w:t>
                      </w:r>
                    </w:p>
                    <w:p>
                      <w:pPr>
                        <w:pStyle w:val="FP"/>
                        <w:ind w:left="2835" w:right="2835"/>
                        <w:jc w:val="center"/>
                        <w:rPr/>
                      </w:pPr>
                      <w:r>
                        <w:rPr>
                          <w:rFonts w:cs="Arial" w:ascii="Arial" w:hAnsi="Arial"/>
                          <w:sz w:val="18"/>
                        </w:rPr>
                        <w:t>650 Route des Lucioles - Sophia Antipolis</w:t>
                      </w:r>
                    </w:p>
                    <w:p>
                      <w:pPr>
                        <w:pStyle w:val="FP"/>
                        <w:ind w:left="2835" w:right="2835"/>
                        <w:jc w:val="center"/>
                        <w:rPr>
                          <w:rFonts w:ascii="Arial" w:hAnsi="Arial" w:cs="Arial"/>
                          <w:sz w:val="18"/>
                        </w:rPr>
                      </w:pPr>
                      <w:r>
                        <w:rPr>
                          <w:rFonts w:cs="Arial" w:ascii="Arial" w:hAnsi="Arial"/>
                          <w:sz w:val="18"/>
                        </w:rPr>
                        <w:t>Valbonne - FRANCE</w:t>
                      </w:r>
                    </w:p>
                    <w:p>
                      <w:pPr>
                        <w:pStyle w:val="FP"/>
                        <w:spacing w:before="0" w:after="20"/>
                        <w:ind w:left="2835" w:right="2835"/>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jc w:val="center"/>
                        <w:rPr/>
                      </w:pPr>
                      <w:r>
                        <w:rPr/>
                        <w:t>Internet</w:t>
                      </w:r>
                    </w:p>
                    <w:p>
                      <w:pPr>
                        <w:pStyle w:val="FP"/>
                        <w:ind w:left="2835" w:right="2835"/>
                        <w:jc w:val="center"/>
                        <w:rPr>
                          <w:rFonts w:ascii="Arial" w:hAnsi="Arial" w:cs="Arial"/>
                          <w:sz w:val="18"/>
                        </w:rPr>
                      </w:pPr>
                      <w:r>
                        <w:rPr>
                          <w:rFonts w:cs="Arial" w:ascii="Arial" w:hAnsi="Arial"/>
                          <w:sz w:val="18"/>
                        </w:rPr>
                        <w:t>http://www.3gpp.org</w:t>
                      </w:r>
                    </w:p>
                  </w:txbxContent>
                </v:textbox>
                <w10:wrap type="topAndBottom"/>
              </v:rect>
            </w:pict>
          </mc:Fallback>
        </mc:AlternateContent>
      </w:r>
    </w:p>
    <w:p>
      <w:pPr>
        <w:pStyle w:val="TT"/>
        <w:rPr/>
      </w:pPr>
      <w:r>
        <w:rPr/>
      </w:r>
      <w:bookmarkStart w:id="7" w:name="page2"/>
      <w:bookmarkStart w:id="8" w:name="page2"/>
      <w:bookmarkEnd w:id="8"/>
      <w:r>
        <w:br w:type="page"/>
      </w:r>
      <w:r>
        <mc:AlternateContent>
          <mc:Choice Requires="wps">
            <w:drawing>
              <wp:anchor behindDoc="0" distT="0" distB="0" distL="0" distR="0" simplePos="0" locked="0" layoutInCell="0" allowOverlap="1" relativeHeight="12">
                <wp:simplePos x="0" y="0"/>
                <wp:positionH relativeFrom="margin">
                  <wp:align>left</wp:align>
                </wp:positionH>
                <wp:positionV relativeFrom="page">
                  <wp:posOffset>8004175</wp:posOffset>
                </wp:positionV>
                <wp:extent cx="6120130" cy="1941195"/>
                <wp:effectExtent l="0" t="0" r="0" b="0"/>
                <wp:wrapTopAndBottom/>
                <wp:docPr id="11" name="Frame9"/>
                <a:graphic xmlns:a="http://schemas.openxmlformats.org/drawingml/2006/main">
                  <a:graphicData uri="http://schemas.microsoft.com/office/word/2010/wordprocessingShape">
                    <wps:wsp>
                      <wps:cNvSpPr txBox="1"/>
                      <wps:spPr>
                        <a:xfrm>
                          <a:off x="0" y="0"/>
                          <a:ext cx="6120130" cy="1941195"/>
                        </a:xfrm>
                        <a:prstGeom prst="rect"/>
                        <a:solidFill>
                          <a:srgbClr val="FFFFFF">
                            <a:alpha val="0"/>
                          </a:srgbClr>
                        </a:solidFill>
                      </wps:spPr>
                      <wps:txbx>
                        <w:txbxContent>
                          <w:p>
                            <w:pPr>
                              <w:pStyle w:val="FP"/>
                              <w:spacing w:before="0" w:after="240"/>
                              <w:jc w:val="center"/>
                              <w:rPr>
                                <w:rFonts w:ascii="Arial" w:hAnsi="Arial" w:cs="Arial"/>
                                <w:b/>
                                <w:i/>
                                <w:i/>
                              </w:rPr>
                            </w:pPr>
                            <w:r>
                              <w:rPr>
                                <w:rFonts w:cs="Arial" w:ascii="Arial" w:hAnsi="Arial"/>
                                <w:b/>
                                <w:i/>
                              </w:rPr>
                              <w:t>Copyright Notification</w:t>
                            </w:r>
                          </w:p>
                          <w:p>
                            <w:pPr>
                              <w:pStyle w:val="FP"/>
                              <w:jc w:val="center"/>
                              <w:rPr/>
                            </w:pPr>
                            <w:r>
                              <w:rPr/>
                              <w:t>No part may be reproduced except as authorized by written permission.</w:t>
                              <w:br/>
                              <w:t>The copyright and the foregoing restriction extend to reproduction in all media.</w:t>
                            </w:r>
                          </w:p>
                          <w:p>
                            <w:pPr>
                              <w:pStyle w:val="FP"/>
                              <w:jc w:val="center"/>
                              <w:rPr/>
                            </w:pPr>
                            <w:r>
                              <w:rPr/>
                            </w:r>
                          </w:p>
                          <w:p>
                            <w:pPr>
                              <w:pStyle w:val="FP"/>
                              <w:jc w:val="center"/>
                              <w:rPr/>
                            </w:pPr>
                            <w:r>
                              <w:rPr>
                                <w:sz w:val="18"/>
                              </w:rPr>
                              <w:t>© 2025, 3GPP Organizational Partners (ARIB, ATIS, CCSA, ETSI, TSDSI, TTA, TTC).</w:t>
                            </w:r>
                            <w:bookmarkStart w:id="9" w:name="copyrightaddon"/>
                            <w:bookmarkEnd w:id="9"/>
                          </w:p>
                          <w:p>
                            <w:pPr>
                              <w:pStyle w:val="FP"/>
                              <w:jc w:val="center"/>
                              <w:rPr>
                                <w:sz w:val="18"/>
                              </w:rPr>
                            </w:pPr>
                            <w:r>
                              <w:rPr>
                                <w:sz w:val="18"/>
                              </w:rPr>
                              <w:t>All rights reserved.</w:t>
                            </w:r>
                          </w:p>
                          <w:p>
                            <w:pPr>
                              <w:pStyle w:val="FP"/>
                              <w:rPr>
                                <w:sz w:val="18"/>
                              </w:rPr>
                            </w:pPr>
                            <w:r>
                              <w:rPr>
                                <w:sz w:val="18"/>
                              </w:rPr>
                            </w:r>
                          </w:p>
                          <w:p>
                            <w:pPr>
                              <w:pStyle w:val="FP"/>
                              <w:rPr>
                                <w:sz w:val="18"/>
                              </w:rPr>
                            </w:pPr>
                            <w:r>
                              <w:rPr>
                                <w:sz w:val="18"/>
                              </w:rPr>
                              <w:t>UMTS™ is a Trade Mark of ETSI registered for the benefit of its members</w:t>
                            </w:r>
                          </w:p>
                          <w:p>
                            <w:pPr>
                              <w:pStyle w:val="FP"/>
                              <w:rPr>
                                <w:sz w:val="18"/>
                              </w:rPr>
                            </w:pPr>
                            <w:r>
                              <w:rPr>
                                <w:sz w:val="18"/>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rPr>
                            </w:pPr>
                            <w:r>
                              <w:rPr>
                                <w:sz w:val="18"/>
                              </w:rPr>
                              <w:t>GSM® and the GSM logo are registered and owned by the GSM Association</w:t>
                            </w:r>
                          </w:p>
                        </w:txbxContent>
                      </wps:txbx>
                      <wps:bodyPr anchor="t" lIns="0" tIns="0" rIns="0" bIns="12700">
                        <a:noAutofit/>
                      </wps:bodyPr>
                    </wps:wsp>
                  </a:graphicData>
                </a:graphic>
              </wp:anchor>
            </w:drawing>
          </mc:Choice>
          <mc:Fallback>
            <w:pict>
              <v:rect fillcolor="#FFFFFF" style="position:absolute;rotation:-0;width:481.9pt;height:152.85pt;mso-wrap-distance-left:0pt;mso-wrap-distance-right:0pt;mso-wrap-distance-top:0pt;mso-wrap-distance-bottom:0pt;margin-top:630.25pt;mso-position-vertical-relative:page;margin-left:0pt;mso-position-horizontal:left;mso-position-horizontal-relative:margin">
                <v:fill opacity="0f"/>
                <v:textbox inset="0in,0in,0in,0.0138888888888889in">
                  <w:txbxContent>
                    <w:p>
                      <w:pPr>
                        <w:pStyle w:val="FP"/>
                        <w:spacing w:before="0" w:after="240"/>
                        <w:jc w:val="center"/>
                        <w:rPr>
                          <w:rFonts w:ascii="Arial" w:hAnsi="Arial" w:cs="Arial"/>
                          <w:b/>
                          <w:i/>
                          <w:i/>
                        </w:rPr>
                      </w:pPr>
                      <w:r>
                        <w:rPr>
                          <w:rFonts w:cs="Arial" w:ascii="Arial" w:hAnsi="Arial"/>
                          <w:b/>
                          <w:i/>
                        </w:rPr>
                        <w:t>Copyright Notification</w:t>
                      </w:r>
                    </w:p>
                    <w:p>
                      <w:pPr>
                        <w:pStyle w:val="FP"/>
                        <w:jc w:val="center"/>
                        <w:rPr/>
                      </w:pPr>
                      <w:r>
                        <w:rPr/>
                        <w:t>No part may be reproduced except as authorized by written permission.</w:t>
                        <w:br/>
                        <w:t>The copyright and the foregoing restriction extend to reproduction in all media.</w:t>
                      </w:r>
                    </w:p>
                    <w:p>
                      <w:pPr>
                        <w:pStyle w:val="FP"/>
                        <w:jc w:val="center"/>
                        <w:rPr/>
                      </w:pPr>
                      <w:r>
                        <w:rPr/>
                      </w:r>
                    </w:p>
                    <w:p>
                      <w:pPr>
                        <w:pStyle w:val="FP"/>
                        <w:jc w:val="center"/>
                        <w:rPr/>
                      </w:pPr>
                      <w:r>
                        <w:rPr>
                          <w:sz w:val="18"/>
                        </w:rPr>
                        <w:t>© 2025, 3GPP Organizational Partners (ARIB, ATIS, CCSA, ETSI, TSDSI, TTA, TTC).</w:t>
                      </w:r>
                      <w:bookmarkStart w:id="10" w:name="copyrightaddon"/>
                      <w:bookmarkEnd w:id="10"/>
                    </w:p>
                    <w:p>
                      <w:pPr>
                        <w:pStyle w:val="FP"/>
                        <w:jc w:val="center"/>
                        <w:rPr>
                          <w:sz w:val="18"/>
                        </w:rPr>
                      </w:pPr>
                      <w:r>
                        <w:rPr>
                          <w:sz w:val="18"/>
                        </w:rPr>
                        <w:t>All rights reserved.</w:t>
                      </w:r>
                    </w:p>
                    <w:p>
                      <w:pPr>
                        <w:pStyle w:val="FP"/>
                        <w:rPr>
                          <w:sz w:val="18"/>
                        </w:rPr>
                      </w:pPr>
                      <w:r>
                        <w:rPr>
                          <w:sz w:val="18"/>
                        </w:rPr>
                      </w:r>
                    </w:p>
                    <w:p>
                      <w:pPr>
                        <w:pStyle w:val="FP"/>
                        <w:rPr>
                          <w:sz w:val="18"/>
                        </w:rPr>
                      </w:pPr>
                      <w:r>
                        <w:rPr>
                          <w:sz w:val="18"/>
                        </w:rPr>
                        <w:t>UMTS™ is a Trade Mark of ETSI registered for the benefit of its members</w:t>
                      </w:r>
                    </w:p>
                    <w:p>
                      <w:pPr>
                        <w:pStyle w:val="FP"/>
                        <w:rPr>
                          <w:sz w:val="18"/>
                        </w:rPr>
                      </w:pPr>
                      <w:r>
                        <w:rPr>
                          <w:sz w:val="18"/>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rPr>
                      </w:pPr>
                      <w:r>
                        <w:rPr>
                          <w:sz w:val="18"/>
                        </w:rPr>
                        <w:t>GSM® and the GSM logo are registered and owned by the GSM Association</w:t>
                      </w:r>
                    </w:p>
                  </w:txbxContent>
                </v:textbox>
                <w10:wrap type="topAndBottom"/>
              </v:rect>
            </w:pict>
          </mc:Fallback>
        </mc:AlternateContent>
      </w:r>
    </w:p>
    <w:p>
      <w:pPr>
        <w:pStyle w:val="TT"/>
        <w:rPr/>
      </w:pPr>
      <w:r>
        <w:rPr>
          <w:rFonts w:eastAsia="Arial"/>
        </w:rPr>
        <w:t xml:space="preserve"> </w:t>
      </w:r>
      <w:r>
        <w:rPr/>
        <w:t>Contents</w:t>
      </w:r>
    </w:p>
    <w:sdt>
      <w:sdtPr>
        <w:docPartObj>
          <w:docPartGallery w:val="Table of Contents"/>
          <w:docPartUnique w:val="true"/>
        </w:docPartObj>
      </w:sdtPr>
      <w:sdtContent>
        <w:p>
          <w:pPr>
            <w:pStyle w:val="TOC1"/>
            <w:rPr>
              <w:rFonts w:ascii="Calibri" w:hAnsi="Calibri" w:cs="Calibri"/>
              <w:szCs w:val="22"/>
              <w:lang w:val="en-US" w:eastAsia="en-US"/>
            </w:rPr>
          </w:pPr>
          <w:r>
            <w:fldChar w:fldCharType="begin"/>
          </w:r>
          <w:r>
            <w:rPr>
              <w:lang w:val="en-US" w:eastAsia="en-US"/>
            </w:rPr>
            <w:instrText xml:space="preserve"> TOC \o "1-9" </w:instrText>
          </w:r>
          <w:r>
            <w:rPr>
              <w:lang w:val="en-US" w:eastAsia="en-US"/>
            </w:rPr>
            <w:fldChar w:fldCharType="separate"/>
          </w:r>
          <w:r>
            <w:rPr>
              <w:lang w:val="en-US" w:eastAsia="en-US"/>
            </w:rPr>
            <w:t>Foreword</w:t>
            <w:tab/>
          </w:r>
          <w:hyperlink w:anchor="__RefHeading___Toc137651435">
            <w:r>
              <w:rPr>
                <w:rStyle w:val="IndexLink"/>
                <w:lang w:val="en-US" w:eastAsia="en-US"/>
              </w:rPr>
              <w:t>4</w:t>
            </w:r>
          </w:hyperlink>
        </w:p>
        <w:p>
          <w:pPr>
            <w:pStyle w:val="TOC1"/>
            <w:rPr>
              <w:rFonts w:ascii="Calibri" w:hAnsi="Calibri" w:cs="Calibri"/>
              <w:szCs w:val="22"/>
              <w:lang w:val="en-US" w:eastAsia="en-US"/>
            </w:rPr>
          </w:pPr>
          <w:r>
            <w:rPr>
              <w:lang w:val="en-US" w:eastAsia="en-US"/>
            </w:rPr>
            <w:t>1</w:t>
          </w:r>
          <w:r>
            <w:rPr>
              <w:rFonts w:cs="Calibri" w:ascii="Calibri" w:hAnsi="Calibri"/>
              <w:szCs w:val="22"/>
              <w:lang w:val="en-US" w:eastAsia="en-US"/>
            </w:rPr>
            <w:tab/>
          </w:r>
          <w:r>
            <w:rPr>
              <w:lang w:val="en-US" w:eastAsia="en-US"/>
            </w:rPr>
            <w:t>Scope</w:t>
            <w:tab/>
          </w:r>
          <w:hyperlink w:anchor="__RefHeading___Toc137651436">
            <w:r>
              <w:rPr>
                <w:rStyle w:val="IndexLink"/>
                <w:lang w:val="en-US" w:eastAsia="en-US"/>
              </w:rPr>
              <w:t>6</w:t>
            </w:r>
          </w:hyperlink>
        </w:p>
        <w:p>
          <w:pPr>
            <w:pStyle w:val="TOC1"/>
            <w:rPr>
              <w:rFonts w:ascii="Calibri" w:hAnsi="Calibri" w:cs="Calibri"/>
              <w:szCs w:val="22"/>
              <w:lang w:val="en-US" w:eastAsia="en-US"/>
            </w:rPr>
          </w:pPr>
          <w:r>
            <w:rPr>
              <w:lang w:val="en-US" w:eastAsia="en-US"/>
            </w:rPr>
            <w:t>2</w:t>
          </w:r>
          <w:r>
            <w:rPr>
              <w:rFonts w:cs="Calibri" w:ascii="Calibri" w:hAnsi="Calibri"/>
              <w:szCs w:val="22"/>
              <w:lang w:val="en-US" w:eastAsia="en-US"/>
            </w:rPr>
            <w:tab/>
          </w:r>
          <w:r>
            <w:rPr>
              <w:lang w:val="en-US" w:eastAsia="en-US"/>
            </w:rPr>
            <w:t>References</w:t>
            <w:tab/>
          </w:r>
          <w:hyperlink w:anchor="__RefHeading___Toc137651437">
            <w:r>
              <w:rPr>
                <w:rStyle w:val="IndexLink"/>
                <w:lang w:val="en-US" w:eastAsia="en-US"/>
              </w:rPr>
              <w:t>6</w:t>
            </w:r>
          </w:hyperlink>
        </w:p>
        <w:p>
          <w:pPr>
            <w:pStyle w:val="TOC1"/>
            <w:rPr>
              <w:rFonts w:ascii="Calibri" w:hAnsi="Calibri" w:cs="Calibri"/>
              <w:szCs w:val="22"/>
              <w:lang w:val="en-US" w:eastAsia="en-US"/>
            </w:rPr>
          </w:pPr>
          <w:r>
            <w:rPr>
              <w:lang w:val="en-US" w:eastAsia="en-US"/>
            </w:rPr>
            <w:t>3</w:t>
          </w:r>
          <w:r>
            <w:rPr>
              <w:rFonts w:cs="Calibri" w:ascii="Calibri" w:hAnsi="Calibri"/>
              <w:szCs w:val="22"/>
              <w:lang w:val="en-US" w:eastAsia="en-US"/>
            </w:rPr>
            <w:tab/>
          </w:r>
          <w:r>
            <w:rPr>
              <w:lang w:val="en-US" w:eastAsia="en-US"/>
            </w:rPr>
            <w:t>Definitions of terms, symbols and abbreviations</w:t>
            <w:tab/>
          </w:r>
          <w:hyperlink w:anchor="__RefHeading___Toc137651438">
            <w:r>
              <w:rPr>
                <w:rStyle w:val="IndexLink"/>
                <w:lang w:val="en-US" w:eastAsia="en-US"/>
              </w:rPr>
              <w:t>6</w:t>
            </w:r>
          </w:hyperlink>
        </w:p>
        <w:p>
          <w:pPr>
            <w:pStyle w:val="TOC2"/>
            <w:rPr>
              <w:rFonts w:ascii="Calibri" w:hAnsi="Calibri" w:cs="Calibri"/>
              <w:sz w:val="22"/>
              <w:szCs w:val="22"/>
              <w:lang w:val="en-US" w:eastAsia="en-US"/>
            </w:rPr>
          </w:pPr>
          <w:r>
            <w:rPr>
              <w:lang w:val="en-US" w:eastAsia="en-US"/>
            </w:rPr>
            <w:t>3.1</w:t>
          </w:r>
          <w:r>
            <w:rPr>
              <w:rFonts w:cs="Calibri" w:ascii="Calibri" w:hAnsi="Calibri"/>
              <w:sz w:val="22"/>
              <w:szCs w:val="22"/>
              <w:lang w:val="en-US" w:eastAsia="en-US"/>
            </w:rPr>
            <w:tab/>
          </w:r>
          <w:r>
            <w:rPr>
              <w:lang w:val="en-US" w:eastAsia="en-US"/>
            </w:rPr>
            <w:t>Terms</w:t>
            <w:tab/>
          </w:r>
          <w:hyperlink w:anchor="__RefHeading___Toc137651439">
            <w:r>
              <w:rPr>
                <w:rStyle w:val="IndexLink"/>
                <w:lang w:val="en-US" w:eastAsia="en-US"/>
              </w:rPr>
              <w:t>6</w:t>
            </w:r>
          </w:hyperlink>
        </w:p>
        <w:p>
          <w:pPr>
            <w:pStyle w:val="TOC2"/>
            <w:rPr>
              <w:rFonts w:ascii="Calibri" w:hAnsi="Calibri" w:cs="Calibri"/>
              <w:sz w:val="22"/>
              <w:szCs w:val="22"/>
              <w:lang w:val="en-US" w:eastAsia="en-US"/>
            </w:rPr>
          </w:pPr>
          <w:r>
            <w:rPr>
              <w:lang w:val="en-US" w:eastAsia="en-US"/>
            </w:rPr>
            <w:t>3.2</w:t>
          </w:r>
          <w:r>
            <w:rPr>
              <w:rFonts w:cs="Calibri" w:ascii="Calibri" w:hAnsi="Calibri"/>
              <w:sz w:val="22"/>
              <w:szCs w:val="22"/>
              <w:lang w:val="en-US" w:eastAsia="en-US"/>
            </w:rPr>
            <w:tab/>
          </w:r>
          <w:r>
            <w:rPr>
              <w:lang w:val="en-US" w:eastAsia="en-US"/>
            </w:rPr>
            <w:t>Symbols</w:t>
            <w:tab/>
          </w:r>
          <w:hyperlink w:anchor="__RefHeading___Toc137651440">
            <w:r>
              <w:rPr>
                <w:rStyle w:val="IndexLink"/>
                <w:lang w:val="en-US" w:eastAsia="en-US"/>
              </w:rPr>
              <w:t>6</w:t>
            </w:r>
          </w:hyperlink>
        </w:p>
        <w:p>
          <w:pPr>
            <w:pStyle w:val="TOC2"/>
            <w:rPr>
              <w:rFonts w:ascii="Calibri" w:hAnsi="Calibri" w:cs="Calibri"/>
              <w:sz w:val="22"/>
              <w:szCs w:val="22"/>
              <w:lang w:val="en-US" w:eastAsia="en-US"/>
            </w:rPr>
          </w:pPr>
          <w:r>
            <w:rPr>
              <w:lang w:val="en-US" w:eastAsia="en-US"/>
            </w:rPr>
            <w:t>3.3</w:t>
          </w:r>
          <w:r>
            <w:rPr>
              <w:rFonts w:cs="Calibri" w:ascii="Calibri" w:hAnsi="Calibri"/>
              <w:sz w:val="22"/>
              <w:szCs w:val="22"/>
              <w:lang w:val="en-US" w:eastAsia="en-US"/>
            </w:rPr>
            <w:tab/>
          </w:r>
          <w:r>
            <w:rPr>
              <w:lang w:val="en-US" w:eastAsia="en-US"/>
            </w:rPr>
            <w:t>Abbreviations</w:t>
            <w:tab/>
          </w:r>
          <w:hyperlink w:anchor="__RefHeading___Toc137651441">
            <w:r>
              <w:rPr>
                <w:rStyle w:val="IndexLink"/>
                <w:lang w:val="en-US" w:eastAsia="en-US"/>
              </w:rPr>
              <w:t>6</w:t>
            </w:r>
          </w:hyperlink>
        </w:p>
        <w:p>
          <w:pPr>
            <w:pStyle w:val="TOC1"/>
            <w:rPr>
              <w:rFonts w:ascii="Calibri" w:hAnsi="Calibri" w:cs="Calibri"/>
              <w:szCs w:val="22"/>
              <w:lang w:val="en-US" w:eastAsia="en-US"/>
            </w:rPr>
          </w:pPr>
          <w:r>
            <w:rPr>
              <w:lang w:val="en-US" w:eastAsia="en-US"/>
            </w:rPr>
            <w:t>4</w:t>
          </w:r>
          <w:r>
            <w:rPr>
              <w:rFonts w:cs="Calibri" w:ascii="Calibri" w:hAnsi="Calibri"/>
              <w:szCs w:val="22"/>
              <w:lang w:val="en-US" w:eastAsia="en-US"/>
            </w:rPr>
            <w:tab/>
          </w:r>
          <w:r>
            <w:rPr>
              <w:lang w:val="en-US" w:eastAsia="en-US"/>
            </w:rPr>
            <w:t>SMF-specific security requirements and related test cases</w:t>
            <w:tab/>
          </w:r>
          <w:hyperlink w:anchor="__RefHeading___Toc137651442">
            <w:r>
              <w:rPr>
                <w:rStyle w:val="IndexLink"/>
                <w:lang w:val="en-US" w:eastAsia="en-US"/>
              </w:rPr>
              <w:t>7</w:t>
            </w:r>
          </w:hyperlink>
        </w:p>
        <w:p>
          <w:pPr>
            <w:pStyle w:val="TOC2"/>
            <w:rPr>
              <w:rFonts w:ascii="Calibri" w:hAnsi="Calibri" w:cs="Calibri"/>
              <w:sz w:val="22"/>
              <w:szCs w:val="22"/>
              <w:lang w:val="en-US" w:eastAsia="en-US"/>
            </w:rPr>
          </w:pPr>
          <w:r>
            <w:rPr>
              <w:lang w:val="en-US" w:eastAsia="en-US"/>
            </w:rPr>
            <w:t>4.1</w:t>
          </w:r>
          <w:r>
            <w:rPr>
              <w:rFonts w:cs="Calibri" w:ascii="Calibri" w:hAnsi="Calibri"/>
              <w:sz w:val="22"/>
              <w:szCs w:val="22"/>
              <w:lang w:val="en-US" w:eastAsia="en-US"/>
            </w:rPr>
            <w:tab/>
          </w:r>
          <w:r>
            <w:rPr>
              <w:lang w:val="en-US" w:eastAsia="en-US"/>
            </w:rPr>
            <w:t>Introduction</w:t>
            <w:tab/>
          </w:r>
          <w:hyperlink w:anchor="__RefHeading___Toc137651443">
            <w:r>
              <w:rPr>
                <w:rStyle w:val="IndexLink"/>
                <w:lang w:val="en-US" w:eastAsia="en-US"/>
              </w:rPr>
              <w:t>7</w:t>
            </w:r>
          </w:hyperlink>
        </w:p>
        <w:p>
          <w:pPr>
            <w:pStyle w:val="TOC2"/>
            <w:rPr>
              <w:rFonts w:ascii="Calibri" w:hAnsi="Calibri" w:cs="Calibri"/>
              <w:sz w:val="22"/>
              <w:szCs w:val="22"/>
              <w:lang w:val="en-US" w:eastAsia="en-US"/>
            </w:rPr>
          </w:pPr>
          <w:r>
            <w:rPr>
              <w:lang w:val="en-US" w:eastAsia="en-US"/>
            </w:rPr>
            <w:t>4.2</w:t>
          </w:r>
          <w:r>
            <w:rPr>
              <w:rFonts w:cs="Calibri" w:ascii="Calibri" w:hAnsi="Calibri"/>
              <w:sz w:val="22"/>
              <w:szCs w:val="22"/>
              <w:lang w:val="en-US" w:eastAsia="en-US"/>
            </w:rPr>
            <w:tab/>
          </w:r>
          <w:r>
            <w:rPr>
              <w:lang w:val="en-US" w:eastAsia="en-US"/>
            </w:rPr>
            <w:t>SMF-specific adaptations of security functional requirements and related test cases</w:t>
            <w:tab/>
          </w:r>
          <w:hyperlink w:anchor="__RefHeading___Toc137651444">
            <w:r>
              <w:rPr>
                <w:rStyle w:val="IndexLink"/>
                <w:lang w:val="en-US" w:eastAsia="en-US"/>
              </w:rPr>
              <w:t>7</w:t>
            </w:r>
          </w:hyperlink>
        </w:p>
        <w:p>
          <w:pPr>
            <w:pStyle w:val="TOC3"/>
            <w:rPr>
              <w:rFonts w:ascii="Calibri" w:hAnsi="Calibri" w:cs="Calibri"/>
              <w:sz w:val="22"/>
              <w:szCs w:val="22"/>
              <w:lang w:val="en-US" w:eastAsia="en-US"/>
            </w:rPr>
          </w:pPr>
          <w:r>
            <w:rPr>
              <w:lang w:val="en-US" w:eastAsia="en-US"/>
            </w:rPr>
            <w:t>4.2.1</w:t>
          </w:r>
          <w:r>
            <w:rPr>
              <w:rFonts w:cs="Calibri" w:ascii="Calibri" w:hAnsi="Calibri"/>
              <w:sz w:val="22"/>
              <w:szCs w:val="22"/>
              <w:lang w:val="en-US" w:eastAsia="en-US"/>
            </w:rPr>
            <w:tab/>
          </w:r>
          <w:r>
            <w:rPr>
              <w:lang w:val="en-US" w:eastAsia="en-US"/>
            </w:rPr>
            <w:t>Introduction</w:t>
            <w:tab/>
          </w:r>
          <w:hyperlink w:anchor="__RefHeading___Toc137651445">
            <w:r>
              <w:rPr>
                <w:rStyle w:val="IndexLink"/>
                <w:lang w:val="en-US" w:eastAsia="en-US"/>
              </w:rPr>
              <w:t>7</w:t>
            </w:r>
          </w:hyperlink>
        </w:p>
        <w:p>
          <w:pPr>
            <w:pStyle w:val="TOC3"/>
            <w:rPr>
              <w:rFonts w:ascii="Calibri" w:hAnsi="Calibri" w:cs="Calibri"/>
              <w:sz w:val="22"/>
              <w:szCs w:val="22"/>
              <w:lang w:val="en-US" w:eastAsia="en-US"/>
            </w:rPr>
          </w:pPr>
          <w:r>
            <w:rPr>
              <w:lang w:val="en-US" w:eastAsia="en-US"/>
            </w:rPr>
            <w:t>4.2.2</w:t>
          </w:r>
          <w:r>
            <w:rPr>
              <w:rFonts w:cs="Calibri" w:ascii="Calibri" w:hAnsi="Calibri"/>
              <w:sz w:val="22"/>
              <w:szCs w:val="22"/>
              <w:lang w:val="en-US" w:eastAsia="en-US"/>
            </w:rPr>
            <w:tab/>
          </w:r>
          <w:r>
            <w:rPr>
              <w:lang w:val="en-US" w:eastAsia="en-US"/>
            </w:rPr>
            <w:t>Security functional requirements on the SMF deriving from 3GPP specifications and related test cases</w:t>
            <w:tab/>
          </w:r>
          <w:hyperlink w:anchor="__RefHeading___Toc137651446">
            <w:r>
              <w:rPr>
                <w:rStyle w:val="IndexLink"/>
                <w:lang w:val="en-US" w:eastAsia="en-US"/>
              </w:rPr>
              <w:t>7</w:t>
            </w:r>
          </w:hyperlink>
        </w:p>
        <w:p>
          <w:pPr>
            <w:pStyle w:val="TOC4"/>
            <w:rPr>
              <w:rFonts w:ascii="Calibri" w:hAnsi="Calibri" w:cs="Calibri"/>
              <w:sz w:val="22"/>
              <w:szCs w:val="22"/>
              <w:lang w:val="en-US" w:eastAsia="en-US"/>
            </w:rPr>
          </w:pPr>
          <w:r>
            <w:rPr>
              <w:lang w:val="en-US" w:eastAsia="en-US"/>
            </w:rPr>
            <w:t>4.2.2.1</w:t>
          </w:r>
          <w:r>
            <w:rPr>
              <w:rFonts w:cs="Calibri" w:ascii="Calibri" w:hAnsi="Calibri"/>
              <w:sz w:val="22"/>
              <w:szCs w:val="22"/>
              <w:lang w:val="en-US" w:eastAsia="en-US"/>
            </w:rPr>
            <w:tab/>
          </w:r>
          <w:r>
            <w:rPr>
              <w:lang w:val="en-US" w:eastAsia="en-US"/>
            </w:rPr>
            <w:t>Security functional requirements on the SMF deriving from 3GPP specifications</w:t>
            <w:tab/>
          </w:r>
          <w:hyperlink w:anchor="__RefHeading___Toc137651447">
            <w:r>
              <w:rPr>
                <w:rStyle w:val="IndexLink"/>
                <w:lang w:val="en-US" w:eastAsia="en-US"/>
              </w:rPr>
              <w:t>7</w:t>
            </w:r>
          </w:hyperlink>
        </w:p>
        <w:p>
          <w:pPr>
            <w:pStyle w:val="TOC4"/>
            <w:rPr>
              <w:rFonts w:ascii="Calibri" w:hAnsi="Calibri" w:cs="Calibri"/>
              <w:sz w:val="22"/>
              <w:szCs w:val="22"/>
              <w:lang w:val="en-US" w:eastAsia="en-US"/>
            </w:rPr>
          </w:pPr>
          <w:r>
            <w:rPr>
              <w:rFonts w:eastAsia="SimSun;宋体"/>
              <w:lang w:val="en-US" w:eastAsia="en-US"/>
            </w:rPr>
            <w:t>4.2.2.1.0</w:t>
          </w:r>
          <w:r>
            <w:rPr>
              <w:rFonts w:cs="Calibri" w:ascii="Calibri" w:hAnsi="Calibri"/>
              <w:sz w:val="22"/>
              <w:szCs w:val="22"/>
              <w:lang w:val="en-US" w:eastAsia="en-US"/>
            </w:rPr>
            <w:tab/>
          </w:r>
          <w:r>
            <w:rPr>
              <w:rFonts w:eastAsia="SimSun;宋体"/>
              <w:lang w:val="en-US" w:eastAsia="en-US"/>
            </w:rPr>
            <w:t>General</w:t>
          </w:r>
          <w:r>
            <w:rPr>
              <w:lang w:val="en-US" w:eastAsia="en-US"/>
            </w:rPr>
            <w:tab/>
          </w:r>
          <w:hyperlink w:anchor="__RefHeading___Toc137651448">
            <w:r>
              <w:rPr>
                <w:rStyle w:val="IndexLink"/>
                <w:lang w:val="en-US" w:eastAsia="en-US"/>
              </w:rPr>
              <w:t>7</w:t>
            </w:r>
          </w:hyperlink>
        </w:p>
        <w:p>
          <w:pPr>
            <w:pStyle w:val="TOC5"/>
            <w:rPr>
              <w:rFonts w:ascii="Calibri" w:hAnsi="Calibri" w:cs="Calibri"/>
              <w:sz w:val="22"/>
              <w:szCs w:val="22"/>
              <w:lang w:val="en-US" w:eastAsia="en-US"/>
            </w:rPr>
          </w:pPr>
          <w:r>
            <w:rPr>
              <w:lang w:val="en-US" w:eastAsia="en-US"/>
            </w:rPr>
            <w:t>4.2.2.1.1</w:t>
          </w:r>
          <w:r>
            <w:rPr>
              <w:rFonts w:cs="Calibri" w:ascii="Calibri" w:hAnsi="Calibri"/>
              <w:sz w:val="22"/>
              <w:szCs w:val="22"/>
              <w:lang w:val="en-US" w:eastAsia="en-US"/>
            </w:rPr>
            <w:tab/>
          </w:r>
          <w:r>
            <w:rPr>
              <w:lang w:val="en-US" w:eastAsia="en-US"/>
            </w:rPr>
            <w:t>Priority of UP security policy</w:t>
            <w:tab/>
          </w:r>
          <w:hyperlink w:anchor="__RefHeading___Toc137651449">
            <w:r>
              <w:rPr>
                <w:rStyle w:val="IndexLink"/>
                <w:lang w:val="en-US" w:eastAsia="en-US"/>
              </w:rPr>
              <w:t>7</w:t>
            </w:r>
          </w:hyperlink>
        </w:p>
        <w:p>
          <w:pPr>
            <w:pStyle w:val="TOC5"/>
            <w:rPr>
              <w:rFonts w:ascii="Calibri" w:hAnsi="Calibri" w:cs="Calibri"/>
              <w:sz w:val="22"/>
              <w:szCs w:val="22"/>
              <w:lang w:val="en-US" w:eastAsia="en-US"/>
            </w:rPr>
          </w:pPr>
          <w:r>
            <w:rPr>
              <w:lang w:val="en-US" w:eastAsia="en-US"/>
            </w:rPr>
            <w:t>4.2.2.1.2</w:t>
          </w:r>
          <w:r>
            <w:rPr>
              <w:rFonts w:cs="Calibri" w:ascii="Calibri" w:hAnsi="Calibri"/>
              <w:sz w:val="22"/>
              <w:szCs w:val="22"/>
              <w:lang w:val="en-US" w:eastAsia="en-US"/>
            </w:rPr>
            <w:tab/>
          </w:r>
          <w:r>
            <w:rPr>
              <w:lang w:val="en-US" w:eastAsia="en-US"/>
            </w:rPr>
            <w:t>Void</w:t>
            <w:tab/>
          </w:r>
          <w:hyperlink w:anchor="__RefHeading___Toc137651450">
            <w:r>
              <w:rPr>
                <w:rStyle w:val="IndexLink"/>
                <w:lang w:val="en-US" w:eastAsia="en-US"/>
              </w:rPr>
              <w:t>8</w:t>
            </w:r>
          </w:hyperlink>
        </w:p>
        <w:p>
          <w:pPr>
            <w:pStyle w:val="TOC5"/>
            <w:rPr>
              <w:rFonts w:ascii="Calibri" w:hAnsi="Calibri" w:cs="Calibri"/>
              <w:sz w:val="22"/>
              <w:szCs w:val="22"/>
              <w:lang w:val="en-US" w:eastAsia="en-US"/>
            </w:rPr>
          </w:pPr>
          <w:r>
            <w:rPr>
              <w:lang w:val="en-US" w:eastAsia="en-US"/>
            </w:rPr>
            <w:t>4.2.2.1.3</w:t>
          </w:r>
          <w:r>
            <w:rPr>
              <w:rFonts w:cs="Calibri" w:ascii="Calibri" w:hAnsi="Calibri"/>
              <w:sz w:val="22"/>
              <w:szCs w:val="22"/>
              <w:lang w:val="en-US" w:eastAsia="en-US"/>
            </w:rPr>
            <w:tab/>
          </w:r>
          <w:r>
            <w:rPr>
              <w:lang w:val="en-US" w:eastAsia="en-US"/>
            </w:rPr>
            <w:t>Security functional requirements on the SMF checking UP security policy</w:t>
            <w:tab/>
          </w:r>
          <w:hyperlink w:anchor="__RefHeading___Toc137651451">
            <w:r>
              <w:rPr>
                <w:rStyle w:val="IndexLink"/>
                <w:lang w:val="en-US" w:eastAsia="en-US"/>
              </w:rPr>
              <w:t>8</w:t>
            </w:r>
          </w:hyperlink>
        </w:p>
        <w:p>
          <w:pPr>
            <w:pStyle w:val="TOC5"/>
            <w:rPr>
              <w:rFonts w:ascii="Calibri" w:hAnsi="Calibri" w:cs="Calibri"/>
              <w:sz w:val="22"/>
              <w:szCs w:val="22"/>
              <w:lang w:val="en-US" w:eastAsia="en-US"/>
            </w:rPr>
          </w:pPr>
          <w:r>
            <w:rPr>
              <w:lang w:val="en-US" w:eastAsia="en-US"/>
            </w:rPr>
            <w:t>4.2.2.1.4</w:t>
          </w:r>
          <w:r>
            <w:rPr>
              <w:rFonts w:cs="Calibri" w:ascii="Calibri" w:hAnsi="Calibri"/>
              <w:sz w:val="22"/>
              <w:szCs w:val="22"/>
              <w:lang w:val="en-US" w:eastAsia="en-US"/>
            </w:rPr>
            <w:tab/>
          </w:r>
          <w:r>
            <w:rPr>
              <w:lang w:val="en-US" w:eastAsia="en-US"/>
            </w:rPr>
            <w:t>Charging ID Uniqueness</w:t>
            <w:tab/>
          </w:r>
          <w:hyperlink w:anchor="__RefHeading___Toc137651452">
            <w:r>
              <w:rPr>
                <w:rStyle w:val="IndexLink"/>
                <w:lang w:val="en-US" w:eastAsia="en-US"/>
              </w:rPr>
              <w:t>9</w:t>
            </w:r>
          </w:hyperlink>
        </w:p>
        <w:p>
          <w:pPr>
            <w:pStyle w:val="TOC3"/>
            <w:rPr>
              <w:rFonts w:ascii="Calibri" w:hAnsi="Calibri" w:cs="Calibri"/>
              <w:sz w:val="22"/>
              <w:szCs w:val="22"/>
              <w:lang w:val="en-US" w:eastAsia="en-US"/>
            </w:rPr>
          </w:pPr>
          <w:r>
            <w:rPr>
              <w:lang w:val="en-US" w:eastAsia="en-US"/>
            </w:rPr>
            <w:t>4.2.3</w:t>
          </w:r>
          <w:r>
            <w:rPr>
              <w:rFonts w:cs="Calibri" w:ascii="Calibri" w:hAnsi="Calibri"/>
              <w:sz w:val="22"/>
              <w:szCs w:val="22"/>
              <w:lang w:val="en-US" w:eastAsia="en-US"/>
            </w:rPr>
            <w:tab/>
          </w:r>
          <w:r>
            <w:rPr>
              <w:lang w:val="en-US" w:eastAsia="en-US"/>
            </w:rPr>
            <w:t>Technical Baseline</w:t>
            <w:tab/>
          </w:r>
          <w:hyperlink w:anchor="__RefHeading___Toc137651453">
            <w:r>
              <w:rPr>
                <w:rStyle w:val="IndexLink"/>
                <w:lang w:val="en-US" w:eastAsia="en-US"/>
              </w:rPr>
              <w:t>9</w:t>
            </w:r>
          </w:hyperlink>
        </w:p>
        <w:p>
          <w:pPr>
            <w:pStyle w:val="TOC4"/>
            <w:rPr>
              <w:rFonts w:ascii="Calibri" w:hAnsi="Calibri" w:cs="Calibri"/>
              <w:sz w:val="22"/>
              <w:szCs w:val="22"/>
              <w:lang w:val="en-US" w:eastAsia="en-US"/>
            </w:rPr>
          </w:pPr>
          <w:r>
            <w:rPr>
              <w:lang w:val="en-US" w:eastAsia="en-US"/>
            </w:rPr>
            <w:t>4.2.3.1</w:t>
          </w:r>
          <w:r>
            <w:rPr>
              <w:rFonts w:cs="Calibri" w:ascii="Calibri" w:hAnsi="Calibri"/>
              <w:sz w:val="22"/>
              <w:szCs w:val="22"/>
              <w:lang w:val="en-US" w:eastAsia="en-US"/>
            </w:rPr>
            <w:tab/>
          </w:r>
          <w:r>
            <w:rPr>
              <w:lang w:val="en-US" w:eastAsia="en-US"/>
            </w:rPr>
            <w:t>Introduction</w:t>
            <w:tab/>
          </w:r>
          <w:hyperlink w:anchor="__RefHeading___Toc137651454">
            <w:r>
              <w:rPr>
                <w:rStyle w:val="IndexLink"/>
                <w:lang w:val="en-US" w:eastAsia="en-US"/>
              </w:rPr>
              <w:t>9</w:t>
            </w:r>
          </w:hyperlink>
        </w:p>
        <w:p>
          <w:pPr>
            <w:pStyle w:val="TOC4"/>
            <w:rPr>
              <w:rFonts w:ascii="Calibri" w:hAnsi="Calibri" w:cs="Calibri"/>
              <w:sz w:val="22"/>
              <w:szCs w:val="22"/>
              <w:lang w:val="en-US" w:eastAsia="en-US"/>
            </w:rPr>
          </w:pPr>
          <w:r>
            <w:rPr>
              <w:lang w:val="en-US" w:eastAsia="en-US"/>
            </w:rPr>
            <w:t>4.2.3.2</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w:t>
            <w:tab/>
          </w:r>
          <w:hyperlink w:anchor="__RefHeading___Toc137651455">
            <w:r>
              <w:rPr>
                <w:rStyle w:val="IndexLink"/>
                <w:lang w:val="en-US" w:eastAsia="en-US"/>
              </w:rPr>
              <w:t>9</w:t>
            </w:r>
          </w:hyperlink>
        </w:p>
        <w:p>
          <w:pPr>
            <w:pStyle w:val="TOC5"/>
            <w:rPr>
              <w:rFonts w:ascii="Calibri" w:hAnsi="Calibri" w:cs="Calibri"/>
              <w:sz w:val="22"/>
              <w:szCs w:val="22"/>
              <w:lang w:val="en-US" w:eastAsia="en-US"/>
            </w:rPr>
          </w:pPr>
          <w:r>
            <w:rPr>
              <w:lang w:val="en-US" w:eastAsia="en-US"/>
            </w:rPr>
            <w:t>4.2.3.2.1</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 general</w:t>
            <w:tab/>
          </w:r>
          <w:hyperlink w:anchor="__RefHeading___Toc137651456">
            <w:r>
              <w:rPr>
                <w:rStyle w:val="IndexLink"/>
                <w:lang w:val="en-US" w:eastAsia="en-US"/>
              </w:rPr>
              <w:t>9</w:t>
            </w:r>
          </w:hyperlink>
        </w:p>
        <w:p>
          <w:pPr>
            <w:pStyle w:val="TOC5"/>
            <w:rPr>
              <w:rFonts w:ascii="Calibri" w:hAnsi="Calibri" w:cs="Calibri"/>
              <w:sz w:val="22"/>
              <w:szCs w:val="22"/>
              <w:lang w:val="en-US" w:eastAsia="en-US"/>
            </w:rPr>
          </w:pPr>
          <w:r>
            <w:rPr>
              <w:lang w:val="en-US" w:eastAsia="en-US"/>
            </w:rPr>
            <w:t>4.2.3.2.2</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 unauthorized viewing</w:t>
            <w:tab/>
          </w:r>
          <w:hyperlink w:anchor="__RefHeading___Toc137651457">
            <w:r>
              <w:rPr>
                <w:rStyle w:val="IndexLink"/>
                <w:lang w:val="en-US" w:eastAsia="en-US"/>
              </w:rPr>
              <w:t>10</w:t>
            </w:r>
          </w:hyperlink>
        </w:p>
        <w:p>
          <w:pPr>
            <w:pStyle w:val="TOC5"/>
            <w:rPr>
              <w:rFonts w:ascii="Calibri" w:hAnsi="Calibri" w:cs="Calibri"/>
              <w:sz w:val="22"/>
              <w:szCs w:val="22"/>
              <w:lang w:val="en-US" w:eastAsia="en-US"/>
            </w:rPr>
          </w:pPr>
          <w:r>
            <w:rPr>
              <w:lang w:val="en-US" w:eastAsia="en-US"/>
            </w:rPr>
            <w:t>4.2.3.2.3</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in storage</w:t>
            <w:tab/>
          </w:r>
          <w:hyperlink w:anchor="__RefHeading___Toc137651458">
            <w:r>
              <w:rPr>
                <w:rStyle w:val="IndexLink"/>
                <w:lang w:val="en-US" w:eastAsia="en-US"/>
              </w:rPr>
              <w:t>10</w:t>
            </w:r>
          </w:hyperlink>
        </w:p>
        <w:p>
          <w:pPr>
            <w:pStyle w:val="TOC5"/>
            <w:rPr>
              <w:rFonts w:ascii="Calibri" w:hAnsi="Calibri" w:cs="Calibri"/>
              <w:sz w:val="22"/>
              <w:szCs w:val="22"/>
              <w:lang w:val="en-US" w:eastAsia="en-US"/>
            </w:rPr>
          </w:pPr>
          <w:r>
            <w:rPr>
              <w:lang w:val="en-US" w:eastAsia="en-US"/>
            </w:rPr>
            <w:t>4.2.3.2.4</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in transfer</w:t>
            <w:tab/>
          </w:r>
          <w:hyperlink w:anchor="__RefHeading___Toc137651459">
            <w:r>
              <w:rPr>
                <w:rStyle w:val="IndexLink"/>
                <w:lang w:val="en-US" w:eastAsia="en-US"/>
              </w:rPr>
              <w:t>10</w:t>
            </w:r>
          </w:hyperlink>
        </w:p>
        <w:p>
          <w:pPr>
            <w:pStyle w:val="TOC5"/>
            <w:rPr>
              <w:rFonts w:ascii="Calibri" w:hAnsi="Calibri" w:cs="Calibri"/>
              <w:sz w:val="22"/>
              <w:szCs w:val="22"/>
              <w:lang w:val="en-US" w:eastAsia="en-US"/>
            </w:rPr>
          </w:pPr>
          <w:r>
            <w:rPr>
              <w:lang w:val="en-US" w:eastAsia="en-US"/>
            </w:rPr>
            <w:t>4.2.3.2.5</w:t>
          </w:r>
          <w:r>
            <w:rPr>
              <w:rFonts w:cs="Calibri" w:ascii="Calibri" w:hAnsi="Calibri"/>
              <w:sz w:val="22"/>
              <w:szCs w:val="22"/>
              <w:lang w:val="en-US" w:eastAsia="en-US"/>
            </w:rPr>
            <w:tab/>
          </w:r>
          <w:r>
            <w:rPr>
              <w:lang w:val="en-US" w:eastAsia="en-US"/>
            </w:rPr>
            <w:t>Logging access to personal data</w:t>
            <w:tab/>
          </w:r>
          <w:hyperlink w:anchor="__RefHeading___Toc137651460">
            <w:r>
              <w:rPr>
                <w:rStyle w:val="IndexLink"/>
                <w:lang w:val="en-US" w:eastAsia="en-US"/>
              </w:rPr>
              <w:t>10</w:t>
            </w:r>
          </w:hyperlink>
        </w:p>
        <w:p>
          <w:pPr>
            <w:pStyle w:val="TOC4"/>
            <w:rPr>
              <w:rFonts w:ascii="Calibri" w:hAnsi="Calibri" w:cs="Calibri"/>
              <w:sz w:val="22"/>
              <w:szCs w:val="22"/>
              <w:lang w:val="en-US" w:eastAsia="en-US"/>
            </w:rPr>
          </w:pPr>
          <w:r>
            <w:rPr>
              <w:lang w:val="en-US" w:eastAsia="en-US"/>
            </w:rPr>
            <w:t>4.2.3.3</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availability</w:t>
          </w:r>
          <w:r>
            <w:rPr>
              <w:spacing w:val="-12"/>
              <w:lang w:val="en-US" w:eastAsia="en-US"/>
            </w:rPr>
            <w:t xml:space="preserve"> </w:t>
          </w:r>
          <w:r>
            <w:rPr>
              <w:lang w:val="en-US" w:eastAsia="en-US"/>
            </w:rPr>
            <w:t>and</w:t>
          </w:r>
          <w:r>
            <w:rPr>
              <w:spacing w:val="-4"/>
              <w:lang w:val="en-US" w:eastAsia="en-US"/>
            </w:rPr>
            <w:t xml:space="preserve"> </w:t>
          </w:r>
          <w:r>
            <w:rPr>
              <w:lang w:val="en-US" w:eastAsia="en-US"/>
            </w:rPr>
            <w:t>integrity</w:t>
            <w:tab/>
          </w:r>
          <w:hyperlink w:anchor="__RefHeading___Toc137651461">
            <w:r>
              <w:rPr>
                <w:rStyle w:val="IndexLink"/>
                <w:lang w:val="en-US" w:eastAsia="en-US"/>
              </w:rPr>
              <w:t>10</w:t>
            </w:r>
          </w:hyperlink>
        </w:p>
        <w:p>
          <w:pPr>
            <w:pStyle w:val="TOC4"/>
            <w:rPr>
              <w:rFonts w:ascii="Calibri" w:hAnsi="Calibri" w:cs="Calibri"/>
              <w:sz w:val="22"/>
              <w:szCs w:val="22"/>
              <w:lang w:val="en-US" w:eastAsia="en-US"/>
            </w:rPr>
          </w:pPr>
          <w:r>
            <w:rPr>
              <w:lang w:val="en-US" w:eastAsia="en-US"/>
            </w:rPr>
            <w:t>4.2.3.4</w:t>
          </w:r>
          <w:r>
            <w:rPr>
              <w:rFonts w:cs="Calibri" w:ascii="Calibri" w:hAnsi="Calibri"/>
              <w:sz w:val="22"/>
              <w:szCs w:val="22"/>
              <w:lang w:val="en-US" w:eastAsia="en-US"/>
            </w:rPr>
            <w:tab/>
          </w:r>
          <w:r>
            <w:rPr>
              <w:lang w:val="en-US" w:eastAsia="en-US"/>
            </w:rPr>
            <w:t>Authentication</w:t>
          </w:r>
          <w:r>
            <w:rPr>
              <w:spacing w:val="-17"/>
              <w:lang w:val="en-US" w:eastAsia="en-US"/>
            </w:rPr>
            <w:t xml:space="preserve"> </w:t>
          </w:r>
          <w:r>
            <w:rPr>
              <w:lang w:val="en-US" w:eastAsia="en-US"/>
            </w:rPr>
            <w:t>and</w:t>
          </w:r>
          <w:r>
            <w:rPr>
              <w:spacing w:val="-4"/>
              <w:lang w:val="en-US" w:eastAsia="en-US"/>
            </w:rPr>
            <w:t xml:space="preserve"> </w:t>
          </w:r>
          <w:r>
            <w:rPr>
              <w:lang w:val="en-US" w:eastAsia="en-US"/>
            </w:rPr>
            <w:t>authorization</w:t>
            <w:tab/>
          </w:r>
          <w:hyperlink w:anchor="__RefHeading___Toc137651462">
            <w:r>
              <w:rPr>
                <w:rStyle w:val="IndexLink"/>
                <w:lang w:val="en-US" w:eastAsia="en-US"/>
              </w:rPr>
              <w:t>10</w:t>
            </w:r>
          </w:hyperlink>
        </w:p>
        <w:p>
          <w:pPr>
            <w:pStyle w:val="TOC4"/>
            <w:rPr>
              <w:rFonts w:ascii="Calibri" w:hAnsi="Calibri" w:cs="Calibri"/>
              <w:sz w:val="22"/>
              <w:szCs w:val="22"/>
              <w:lang w:val="en-US" w:eastAsia="en-US"/>
            </w:rPr>
          </w:pPr>
          <w:r>
            <w:rPr>
              <w:lang w:val="en-US" w:eastAsia="en-US"/>
            </w:rPr>
            <w:t>4.2.3.5</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sessions</w:t>
            <w:tab/>
          </w:r>
          <w:hyperlink w:anchor="__RefHeading___Toc137651463">
            <w:r>
              <w:rPr>
                <w:rStyle w:val="IndexLink"/>
                <w:lang w:val="en-US" w:eastAsia="en-US"/>
              </w:rPr>
              <w:t>10</w:t>
            </w:r>
          </w:hyperlink>
        </w:p>
        <w:p>
          <w:pPr>
            <w:pStyle w:val="TOC4"/>
            <w:rPr>
              <w:rFonts w:ascii="Calibri" w:hAnsi="Calibri" w:cs="Calibri"/>
              <w:sz w:val="22"/>
              <w:szCs w:val="22"/>
              <w:lang w:val="en-US" w:eastAsia="en-US"/>
            </w:rPr>
          </w:pPr>
          <w:r>
            <w:rPr>
              <w:lang w:val="en-US" w:eastAsia="en-US"/>
            </w:rPr>
            <w:t>4.2.3.6</w:t>
          </w:r>
          <w:r>
            <w:rPr>
              <w:rFonts w:cs="Calibri" w:ascii="Calibri" w:hAnsi="Calibri"/>
              <w:sz w:val="22"/>
              <w:szCs w:val="22"/>
              <w:lang w:val="en-US" w:eastAsia="en-US"/>
            </w:rPr>
            <w:tab/>
          </w:r>
          <w:r>
            <w:rPr>
              <w:lang w:val="en-US" w:eastAsia="en-US"/>
            </w:rPr>
            <w:t>Logging</w:t>
            <w:tab/>
          </w:r>
          <w:hyperlink w:anchor="__RefHeading___Toc137651464">
            <w:r>
              <w:rPr>
                <w:rStyle w:val="IndexLink"/>
                <w:lang w:val="en-US" w:eastAsia="en-US"/>
              </w:rPr>
              <w:t>10</w:t>
            </w:r>
          </w:hyperlink>
        </w:p>
        <w:p>
          <w:pPr>
            <w:pStyle w:val="TOC3"/>
            <w:rPr>
              <w:rFonts w:ascii="Calibri" w:hAnsi="Calibri" w:cs="Calibri"/>
              <w:sz w:val="22"/>
              <w:szCs w:val="22"/>
              <w:lang w:val="en-US" w:eastAsia="en-US"/>
            </w:rPr>
          </w:pPr>
          <w:r>
            <w:rPr>
              <w:lang w:val="en-US" w:eastAsia="en-US"/>
            </w:rPr>
            <w:t>4.2.4</w:t>
          </w:r>
          <w:r>
            <w:rPr>
              <w:rFonts w:cs="Calibri" w:ascii="Calibri" w:hAnsi="Calibri"/>
              <w:sz w:val="22"/>
              <w:szCs w:val="22"/>
              <w:lang w:val="en-US" w:eastAsia="en-US"/>
            </w:rPr>
            <w:tab/>
          </w:r>
          <w:r>
            <w:rPr>
              <w:lang w:val="en-US" w:eastAsia="en-US"/>
            </w:rPr>
            <w:t>Operating Systems</w:t>
            <w:tab/>
          </w:r>
          <w:hyperlink w:anchor="__RefHeading___Toc137651465">
            <w:r>
              <w:rPr>
                <w:rStyle w:val="IndexLink"/>
                <w:lang w:val="en-US" w:eastAsia="en-US"/>
              </w:rPr>
              <w:t>10</w:t>
            </w:r>
          </w:hyperlink>
        </w:p>
        <w:p>
          <w:pPr>
            <w:pStyle w:val="TOC3"/>
            <w:rPr>
              <w:rFonts w:ascii="Calibri" w:hAnsi="Calibri" w:cs="Calibri"/>
              <w:sz w:val="22"/>
              <w:szCs w:val="22"/>
              <w:lang w:val="en-US" w:eastAsia="en-US"/>
            </w:rPr>
          </w:pPr>
          <w:r>
            <w:rPr>
              <w:lang w:val="en-US" w:eastAsia="en-US"/>
            </w:rPr>
            <w:t>4.2.5</w:t>
          </w:r>
          <w:r>
            <w:rPr>
              <w:rFonts w:cs="Calibri" w:ascii="Calibri" w:hAnsi="Calibri"/>
              <w:sz w:val="22"/>
              <w:szCs w:val="22"/>
              <w:lang w:val="en-US" w:eastAsia="en-US"/>
            </w:rPr>
            <w:tab/>
          </w:r>
          <w:r>
            <w:rPr>
              <w:lang w:val="en-US" w:eastAsia="en-US"/>
            </w:rPr>
            <w:t>Web Servers</w:t>
            <w:tab/>
          </w:r>
          <w:hyperlink w:anchor="__RefHeading___Toc137651466">
            <w:r>
              <w:rPr>
                <w:rStyle w:val="IndexLink"/>
                <w:lang w:val="en-US" w:eastAsia="en-US"/>
              </w:rPr>
              <w:t>10</w:t>
            </w:r>
          </w:hyperlink>
        </w:p>
        <w:p>
          <w:pPr>
            <w:pStyle w:val="TOC3"/>
            <w:rPr>
              <w:rFonts w:ascii="Calibri" w:hAnsi="Calibri" w:cs="Calibri"/>
              <w:sz w:val="22"/>
              <w:szCs w:val="22"/>
              <w:lang w:val="en-US" w:eastAsia="en-US"/>
            </w:rPr>
          </w:pPr>
          <w:r>
            <w:rPr>
              <w:lang w:val="en-US" w:eastAsia="en-US"/>
            </w:rPr>
            <w:t>4.2.6</w:t>
          </w:r>
          <w:r>
            <w:rPr>
              <w:rFonts w:cs="Calibri" w:ascii="Calibri" w:hAnsi="Calibri"/>
              <w:sz w:val="22"/>
              <w:szCs w:val="22"/>
              <w:lang w:val="en-US" w:eastAsia="en-US"/>
            </w:rPr>
            <w:tab/>
          </w:r>
          <w:r>
            <w:rPr>
              <w:lang w:val="en-US" w:eastAsia="en-US"/>
            </w:rPr>
            <w:t>Network Devices</w:t>
            <w:tab/>
          </w:r>
          <w:hyperlink w:anchor="__RefHeading___Toc137651467">
            <w:r>
              <w:rPr>
                <w:rStyle w:val="IndexLink"/>
                <w:lang w:val="en-US" w:eastAsia="en-US"/>
              </w:rPr>
              <w:t>10</w:t>
            </w:r>
          </w:hyperlink>
        </w:p>
        <w:p>
          <w:pPr>
            <w:pStyle w:val="TOC3"/>
            <w:rPr>
              <w:rFonts w:ascii="Calibri" w:hAnsi="Calibri" w:cs="Calibri"/>
              <w:sz w:val="22"/>
              <w:szCs w:val="22"/>
              <w:lang w:val="en-US" w:eastAsia="en-US"/>
            </w:rPr>
          </w:pPr>
          <w:r>
            <w:rPr>
              <w:lang w:val="en-US" w:eastAsia="en-US"/>
            </w:rPr>
            <w:t>4.2.7</w:t>
          </w:r>
          <w:r>
            <w:rPr>
              <w:rFonts w:cs="Calibri" w:ascii="Calibri" w:hAnsi="Calibri"/>
              <w:sz w:val="22"/>
              <w:szCs w:val="22"/>
              <w:lang w:val="en-US" w:eastAsia="en-US"/>
            </w:rPr>
            <w:tab/>
          </w:r>
          <w:r>
            <w:rPr>
              <w:lang w:val="en-US" w:eastAsia="en-US"/>
            </w:rPr>
            <w:t>Void</w:t>
            <w:tab/>
          </w:r>
          <w:hyperlink w:anchor="__RefHeading___Toc137651468">
            <w:r>
              <w:rPr>
                <w:rStyle w:val="IndexLink"/>
                <w:lang w:val="en-US" w:eastAsia="en-US"/>
              </w:rPr>
              <w:t>10</w:t>
            </w:r>
          </w:hyperlink>
        </w:p>
        <w:p>
          <w:pPr>
            <w:pStyle w:val="TOC2"/>
            <w:rPr>
              <w:rFonts w:ascii="Calibri" w:hAnsi="Calibri" w:cs="Calibri"/>
              <w:sz w:val="22"/>
              <w:szCs w:val="22"/>
              <w:lang w:val="en-US" w:eastAsia="en-US"/>
            </w:rPr>
          </w:pPr>
          <w:r>
            <w:rPr>
              <w:lang w:val="en-US" w:eastAsia="en-US"/>
            </w:rPr>
            <w:t>4.3</w:t>
          </w:r>
          <w:r>
            <w:rPr>
              <w:rFonts w:cs="Calibri" w:ascii="Calibri" w:hAnsi="Calibri"/>
              <w:sz w:val="22"/>
              <w:szCs w:val="22"/>
              <w:lang w:val="en-US" w:eastAsia="en-US"/>
            </w:rPr>
            <w:tab/>
          </w:r>
          <w:r>
            <w:rPr>
              <w:lang w:val="en-US" w:eastAsia="en-US"/>
            </w:rPr>
            <w:t>SMF-specific adaptations of hardening requirements and related test cases</w:t>
            <w:tab/>
          </w:r>
          <w:hyperlink w:anchor="__RefHeading___Toc137651469">
            <w:r>
              <w:rPr>
                <w:rStyle w:val="IndexLink"/>
                <w:lang w:val="en-US" w:eastAsia="en-US"/>
              </w:rPr>
              <w:t>10</w:t>
            </w:r>
          </w:hyperlink>
        </w:p>
        <w:p>
          <w:pPr>
            <w:pStyle w:val="TOC3"/>
            <w:rPr>
              <w:rFonts w:ascii="Calibri" w:hAnsi="Calibri" w:cs="Calibri"/>
              <w:sz w:val="22"/>
              <w:szCs w:val="22"/>
              <w:lang w:val="en-US" w:eastAsia="en-US"/>
            </w:rPr>
          </w:pPr>
          <w:r>
            <w:rPr>
              <w:lang w:val="en-US" w:eastAsia="en-US"/>
            </w:rPr>
            <w:t>4.3.1</w:t>
          </w:r>
          <w:r>
            <w:rPr>
              <w:rFonts w:cs="Calibri" w:ascii="Calibri" w:hAnsi="Calibri"/>
              <w:sz w:val="22"/>
              <w:szCs w:val="22"/>
              <w:lang w:val="en-US" w:eastAsia="en-US"/>
            </w:rPr>
            <w:tab/>
          </w:r>
          <w:r>
            <w:rPr>
              <w:lang w:val="en-US" w:eastAsia="en-US"/>
            </w:rPr>
            <w:t>Introduction</w:t>
            <w:tab/>
          </w:r>
          <w:hyperlink w:anchor="__RefHeading___Toc137651470">
            <w:r>
              <w:rPr>
                <w:rStyle w:val="IndexLink"/>
                <w:lang w:val="en-US" w:eastAsia="en-US"/>
              </w:rPr>
              <w:t>10</w:t>
            </w:r>
          </w:hyperlink>
        </w:p>
        <w:p>
          <w:pPr>
            <w:pStyle w:val="TOC3"/>
            <w:rPr>
              <w:rFonts w:ascii="Calibri" w:hAnsi="Calibri" w:cs="Calibri"/>
              <w:sz w:val="22"/>
              <w:szCs w:val="22"/>
              <w:lang w:val="en-US" w:eastAsia="en-US"/>
            </w:rPr>
          </w:pPr>
          <w:r>
            <w:rPr>
              <w:lang w:val="en-US" w:eastAsia="en-US"/>
            </w:rPr>
            <w:t>4.3.2</w:t>
          </w:r>
          <w:r>
            <w:rPr>
              <w:rFonts w:cs="Calibri" w:ascii="Calibri" w:hAnsi="Calibri"/>
              <w:sz w:val="22"/>
              <w:szCs w:val="22"/>
              <w:lang w:val="en-US" w:eastAsia="en-US"/>
            </w:rPr>
            <w:tab/>
          </w:r>
          <w:r>
            <w:rPr>
              <w:lang w:val="en-US" w:eastAsia="en-US"/>
            </w:rPr>
            <w:t>Technical baseline</w:t>
            <w:tab/>
          </w:r>
          <w:hyperlink w:anchor="__RefHeading___Toc137651471">
            <w:r>
              <w:rPr>
                <w:rStyle w:val="IndexLink"/>
                <w:lang w:val="en-US" w:eastAsia="en-US"/>
              </w:rPr>
              <w:t>11</w:t>
            </w:r>
          </w:hyperlink>
        </w:p>
        <w:p>
          <w:pPr>
            <w:pStyle w:val="TOC3"/>
            <w:rPr>
              <w:rFonts w:ascii="Calibri" w:hAnsi="Calibri" w:cs="Calibri"/>
              <w:sz w:val="22"/>
              <w:szCs w:val="22"/>
              <w:lang w:val="en-US" w:eastAsia="en-US"/>
            </w:rPr>
          </w:pPr>
          <w:r>
            <w:rPr>
              <w:lang w:val="en-US" w:eastAsia="en-US"/>
            </w:rPr>
            <w:t>4.3.3</w:t>
          </w:r>
          <w:r>
            <w:rPr>
              <w:rFonts w:cs="Calibri" w:ascii="Calibri" w:hAnsi="Calibri"/>
              <w:sz w:val="22"/>
              <w:szCs w:val="22"/>
              <w:lang w:val="en-US" w:eastAsia="en-US"/>
            </w:rPr>
            <w:tab/>
          </w:r>
          <w:r>
            <w:rPr>
              <w:lang w:val="en-US" w:eastAsia="en-US"/>
            </w:rPr>
            <w:t>Operating systems</w:t>
            <w:tab/>
          </w:r>
          <w:hyperlink w:anchor="__RefHeading___Toc137651472">
            <w:r>
              <w:rPr>
                <w:rStyle w:val="IndexLink"/>
                <w:lang w:val="en-US" w:eastAsia="en-US"/>
              </w:rPr>
              <w:t>11</w:t>
            </w:r>
          </w:hyperlink>
        </w:p>
        <w:p>
          <w:pPr>
            <w:pStyle w:val="TOC3"/>
            <w:rPr>
              <w:rFonts w:ascii="Calibri" w:hAnsi="Calibri" w:cs="Calibri"/>
              <w:sz w:val="22"/>
              <w:szCs w:val="22"/>
              <w:lang w:val="en-US" w:eastAsia="en-US"/>
            </w:rPr>
          </w:pPr>
          <w:r>
            <w:rPr>
              <w:lang w:val="en-US" w:eastAsia="en-US"/>
            </w:rPr>
            <w:t>4.3.4</w:t>
          </w:r>
          <w:r>
            <w:rPr>
              <w:rFonts w:cs="Calibri" w:ascii="Calibri" w:hAnsi="Calibri"/>
              <w:sz w:val="22"/>
              <w:szCs w:val="22"/>
              <w:lang w:val="en-US" w:eastAsia="en-US"/>
            </w:rPr>
            <w:tab/>
          </w:r>
          <w:r>
            <w:rPr>
              <w:lang w:val="en-US" w:eastAsia="en-US"/>
            </w:rPr>
            <w:t>Web servers</w:t>
            <w:tab/>
          </w:r>
          <w:hyperlink w:anchor="__RefHeading___Toc137651473">
            <w:r>
              <w:rPr>
                <w:rStyle w:val="IndexLink"/>
                <w:lang w:val="en-US" w:eastAsia="en-US"/>
              </w:rPr>
              <w:t>11</w:t>
            </w:r>
          </w:hyperlink>
        </w:p>
        <w:p>
          <w:pPr>
            <w:pStyle w:val="TOC3"/>
            <w:rPr>
              <w:rFonts w:ascii="Calibri" w:hAnsi="Calibri" w:cs="Calibri"/>
              <w:sz w:val="22"/>
              <w:szCs w:val="22"/>
              <w:lang w:val="en-US" w:eastAsia="en-US"/>
            </w:rPr>
          </w:pPr>
          <w:r>
            <w:rPr>
              <w:lang w:val="en-US" w:eastAsia="en-US"/>
            </w:rPr>
            <w:t>4.3.5</w:t>
          </w:r>
          <w:r>
            <w:rPr>
              <w:rFonts w:cs="Calibri" w:ascii="Calibri" w:hAnsi="Calibri"/>
              <w:sz w:val="22"/>
              <w:szCs w:val="22"/>
              <w:lang w:val="en-US" w:eastAsia="en-US"/>
            </w:rPr>
            <w:tab/>
          </w:r>
          <w:r>
            <w:rPr>
              <w:lang w:val="en-US" w:eastAsia="en-US"/>
            </w:rPr>
            <w:t>Network devices</w:t>
            <w:tab/>
          </w:r>
          <w:hyperlink w:anchor="__RefHeading___Toc137651474">
            <w:r>
              <w:rPr>
                <w:rStyle w:val="IndexLink"/>
                <w:lang w:val="en-US" w:eastAsia="en-US"/>
              </w:rPr>
              <w:t>11</w:t>
            </w:r>
          </w:hyperlink>
        </w:p>
        <w:p>
          <w:pPr>
            <w:pStyle w:val="TOC3"/>
            <w:rPr>
              <w:rFonts w:ascii="Calibri" w:hAnsi="Calibri" w:cs="Calibri"/>
              <w:sz w:val="22"/>
              <w:szCs w:val="22"/>
              <w:lang w:val="en-US" w:eastAsia="en-US"/>
            </w:rPr>
          </w:pPr>
          <w:r>
            <w:rPr>
              <w:lang w:val="en-US" w:eastAsia="en-US"/>
            </w:rPr>
            <w:t>4.3.6</w:t>
          </w:r>
          <w:r>
            <w:rPr>
              <w:rFonts w:cs="Calibri" w:ascii="Calibri" w:hAnsi="Calibri"/>
              <w:sz w:val="22"/>
              <w:szCs w:val="22"/>
              <w:lang w:val="en-US" w:eastAsia="en-US"/>
            </w:rPr>
            <w:tab/>
          </w:r>
          <w:r>
            <w:rPr>
              <w:lang w:val="en-US" w:eastAsia="en-US"/>
            </w:rPr>
            <w:t>Network functions in service-based architecture</w:t>
            <w:tab/>
          </w:r>
          <w:hyperlink w:anchor="__RefHeading___Toc137651475">
            <w:r>
              <w:rPr>
                <w:rStyle w:val="IndexLink"/>
                <w:lang w:val="en-US" w:eastAsia="en-US"/>
              </w:rPr>
              <w:t>11</w:t>
            </w:r>
          </w:hyperlink>
        </w:p>
        <w:p>
          <w:pPr>
            <w:pStyle w:val="TOC2"/>
            <w:rPr>
              <w:rFonts w:ascii="Calibri" w:hAnsi="Calibri" w:cs="Calibri"/>
              <w:sz w:val="22"/>
              <w:szCs w:val="22"/>
              <w:lang w:val="en-US" w:eastAsia="en-US"/>
            </w:rPr>
          </w:pPr>
          <w:r>
            <w:rPr>
              <w:lang w:val="en-US" w:eastAsia="en-US"/>
            </w:rPr>
            <w:t>4.4</w:t>
          </w:r>
          <w:r>
            <w:rPr>
              <w:rFonts w:cs="Calibri" w:ascii="Calibri" w:hAnsi="Calibri"/>
              <w:sz w:val="22"/>
              <w:szCs w:val="22"/>
              <w:lang w:val="en-US" w:eastAsia="en-US"/>
            </w:rPr>
            <w:tab/>
          </w:r>
          <w:r>
            <w:rPr>
              <w:lang w:val="en-US" w:eastAsia="en-US"/>
            </w:rPr>
            <w:t>SMF-specific adaptations of basic vulnerability testing requirements and related test cases</w:t>
            <w:tab/>
          </w:r>
          <w:hyperlink w:anchor="__RefHeading___Toc137651476">
            <w:r>
              <w:rPr>
                <w:rStyle w:val="IndexLink"/>
                <w:lang w:val="en-US" w:eastAsia="en-US"/>
              </w:rPr>
              <w:t>11</w:t>
            </w:r>
          </w:hyperlink>
        </w:p>
        <w:p>
          <w:pPr>
            <w:pStyle w:val="TOC3"/>
            <w:rPr>
              <w:rFonts w:ascii="Calibri" w:hAnsi="Calibri" w:cs="Calibri"/>
              <w:sz w:val="22"/>
              <w:szCs w:val="22"/>
              <w:lang w:val="en-US" w:eastAsia="en-US"/>
            </w:rPr>
          </w:pPr>
          <w:r>
            <w:rPr>
              <w:rFonts w:eastAsia="MS Mincho;ＭＳ 明朝"/>
              <w:lang w:val="en-US" w:eastAsia="en-US"/>
            </w:rPr>
            <w:t>4.4.1</w:t>
          </w:r>
          <w:r>
            <w:rPr>
              <w:rFonts w:cs="Calibri" w:ascii="Calibri" w:hAnsi="Calibri"/>
              <w:sz w:val="22"/>
              <w:szCs w:val="22"/>
              <w:lang w:val="en-US" w:eastAsia="en-US"/>
            </w:rPr>
            <w:tab/>
          </w:r>
          <w:r>
            <w:rPr>
              <w:rFonts w:eastAsia="MS Mincho;ＭＳ 明朝"/>
              <w:lang w:val="en-US" w:eastAsia="en-US"/>
            </w:rPr>
            <w:t>Introduction</w:t>
          </w:r>
          <w:r>
            <w:rPr>
              <w:lang w:val="en-US" w:eastAsia="en-US"/>
            </w:rPr>
            <w:tab/>
          </w:r>
          <w:hyperlink w:anchor="__RefHeading___Toc137651477">
            <w:r>
              <w:rPr>
                <w:rStyle w:val="IndexLink"/>
                <w:lang w:val="en-US" w:eastAsia="en-US"/>
              </w:rPr>
              <w:t>11</w:t>
            </w:r>
          </w:hyperlink>
        </w:p>
        <w:p>
          <w:pPr>
            <w:pStyle w:val="TOC3"/>
            <w:rPr>
              <w:rFonts w:ascii="Calibri" w:hAnsi="Calibri" w:cs="Calibri"/>
              <w:sz w:val="22"/>
              <w:szCs w:val="22"/>
              <w:lang w:val="en-US" w:eastAsia="en-US"/>
            </w:rPr>
          </w:pPr>
          <w:r>
            <w:rPr>
              <w:rFonts w:eastAsia="MS Mincho;ＭＳ 明朝"/>
              <w:lang w:val="en-US" w:eastAsia="en-US"/>
            </w:rPr>
            <w:t>4.4.2</w:t>
          </w:r>
          <w:r>
            <w:rPr>
              <w:rFonts w:cs="Calibri" w:ascii="Calibri" w:hAnsi="Calibri"/>
              <w:sz w:val="22"/>
              <w:szCs w:val="22"/>
              <w:lang w:val="en-US" w:eastAsia="en-US"/>
            </w:rPr>
            <w:tab/>
          </w:r>
          <w:r>
            <w:rPr>
              <w:rFonts w:eastAsia="MS Mincho;ＭＳ 明朝"/>
              <w:lang w:val="en-US" w:eastAsia="en-US"/>
            </w:rPr>
            <w:t>Port Scanning</w:t>
          </w:r>
          <w:r>
            <w:rPr>
              <w:lang w:val="en-US" w:eastAsia="en-US"/>
            </w:rPr>
            <w:tab/>
          </w:r>
          <w:hyperlink w:anchor="__RefHeading___Toc137651478">
            <w:r>
              <w:rPr>
                <w:rStyle w:val="IndexLink"/>
                <w:lang w:val="en-US" w:eastAsia="en-US"/>
              </w:rPr>
              <w:t>11</w:t>
            </w:r>
          </w:hyperlink>
        </w:p>
        <w:p>
          <w:pPr>
            <w:pStyle w:val="TOC3"/>
            <w:rPr>
              <w:rFonts w:ascii="Calibri" w:hAnsi="Calibri" w:cs="Calibri"/>
              <w:sz w:val="22"/>
              <w:szCs w:val="22"/>
              <w:lang w:val="en-US" w:eastAsia="en-US"/>
            </w:rPr>
          </w:pPr>
          <w:r>
            <w:rPr>
              <w:rFonts w:eastAsia="MS Mincho;ＭＳ 明朝"/>
              <w:lang w:val="en-US" w:eastAsia="en-US"/>
            </w:rPr>
            <w:t>4.4.3</w:t>
          </w:r>
          <w:r>
            <w:rPr>
              <w:rFonts w:cs="Calibri" w:ascii="Calibri" w:hAnsi="Calibri"/>
              <w:sz w:val="22"/>
              <w:szCs w:val="22"/>
              <w:lang w:val="en-US" w:eastAsia="en-US"/>
            </w:rPr>
            <w:tab/>
          </w:r>
          <w:r>
            <w:rPr>
              <w:rFonts w:eastAsia="MS Mincho;ＭＳ 明朝"/>
              <w:lang w:val="en-US" w:eastAsia="en-US"/>
            </w:rPr>
            <w:t>Vulnerability scanning</w:t>
          </w:r>
          <w:r>
            <w:rPr>
              <w:lang w:val="en-US" w:eastAsia="en-US"/>
            </w:rPr>
            <w:tab/>
          </w:r>
          <w:hyperlink w:anchor="__RefHeading___Toc137651479">
            <w:r>
              <w:rPr>
                <w:rStyle w:val="IndexLink"/>
                <w:lang w:val="en-US" w:eastAsia="en-US"/>
              </w:rPr>
              <w:t>11</w:t>
            </w:r>
          </w:hyperlink>
        </w:p>
        <w:p>
          <w:pPr>
            <w:pStyle w:val="TOC3"/>
            <w:rPr>
              <w:rFonts w:ascii="Calibri" w:hAnsi="Calibri" w:cs="Calibri"/>
              <w:sz w:val="22"/>
              <w:szCs w:val="22"/>
              <w:lang w:val="en-US" w:eastAsia="en-US"/>
            </w:rPr>
          </w:pPr>
          <w:r>
            <w:rPr>
              <w:rFonts w:eastAsia="MS Mincho;ＭＳ 明朝"/>
              <w:lang w:val="en-US" w:eastAsia="en-US"/>
            </w:rPr>
            <w:t>4.4.4</w:t>
          </w:r>
          <w:r>
            <w:rPr>
              <w:rFonts w:cs="Calibri" w:ascii="Calibri" w:hAnsi="Calibri"/>
              <w:sz w:val="22"/>
              <w:szCs w:val="22"/>
              <w:lang w:val="en-US" w:eastAsia="en-US"/>
            </w:rPr>
            <w:tab/>
          </w:r>
          <w:r>
            <w:rPr>
              <w:rFonts w:eastAsia="MS Mincho;ＭＳ 明朝"/>
              <w:lang w:val="en-US" w:eastAsia="en-US"/>
            </w:rPr>
            <w:t>Robustness and fuzz testing</w:t>
          </w:r>
          <w:r>
            <w:rPr>
              <w:lang w:val="en-US" w:eastAsia="en-US"/>
            </w:rPr>
            <w:tab/>
          </w:r>
          <w:hyperlink w:anchor="__RefHeading___Toc137651480">
            <w:r>
              <w:rPr>
                <w:rStyle w:val="IndexLink"/>
                <w:lang w:val="en-US" w:eastAsia="en-US"/>
              </w:rPr>
              <w:t>11</w:t>
            </w:r>
          </w:hyperlink>
        </w:p>
        <w:p>
          <w:pPr>
            <w:pStyle w:val="TOC8"/>
            <w:rPr>
              <w:rFonts w:ascii="Calibri" w:hAnsi="Calibri" w:cs="Calibri"/>
              <w:szCs w:val="22"/>
              <w:lang w:val="en-US" w:eastAsia="en-US"/>
            </w:rPr>
          </w:pPr>
          <w:r>
            <w:rPr>
              <w:b w:val="false"/>
              <w:lang w:val="en-US" w:eastAsia="en-US"/>
            </w:rPr>
            <w:t>Annex A (informative): Change history</w:t>
            <w:tab/>
          </w:r>
          <w:hyperlink w:anchor="__RefHeading___Toc137651481">
            <w:r>
              <w:rPr>
                <w:rStyle w:val="IndexLink"/>
                <w:b w:val="false"/>
                <w:lang w:val="en-US" w:eastAsia="en-US"/>
              </w:rPr>
              <w:t>12</w:t>
            </w:r>
          </w:hyperlink>
          <w:r>
            <w:rPr>
              <w:rStyle w:val="IndexLink"/>
              <w:b w:val="false"/>
              <w:lang w:val="en-US" w:eastAsia="en-US"/>
            </w:rPr>
            <w:fldChar w:fldCharType="end"/>
          </w:r>
        </w:p>
      </w:sdtContent>
    </w:sdt>
    <w:p>
      <w:pPr>
        <w:pStyle w:val="Normal"/>
        <w:rPr>
          <w:rFonts w:ascii="Calibri" w:hAnsi="Calibri" w:cs="Calibri"/>
          <w:b/>
          <w:sz w:val="22"/>
          <w:szCs w:val="22"/>
          <w:lang w:val="en-US" w:eastAsia="en-US"/>
        </w:rPr>
      </w:pPr>
      <w:r>
        <w:rPr>
          <w:rFonts w:cs="Calibri" w:ascii="Calibri" w:hAnsi="Calibri"/>
          <w:b/>
          <w:sz w:val="22"/>
          <w:szCs w:val="22"/>
          <w:lang w:val="en-US" w:eastAsia="en-US"/>
        </w:rPr>
      </w:r>
      <w:r>
        <w:br w:type="page"/>
      </w:r>
    </w:p>
    <w:p>
      <w:pPr>
        <w:pStyle w:val="Heading1"/>
        <w:rPr/>
      </w:pPr>
      <w:bookmarkStart w:id="11" w:name="__RefHeading___Toc137651435"/>
      <w:bookmarkEnd w:id="11"/>
      <w:r>
        <w:rPr/>
        <w:t>Foreword</w:t>
      </w:r>
    </w:p>
    <w:p>
      <w:pPr>
        <w:pStyle w:val="Normal"/>
        <w:rPr/>
      </w:pPr>
      <w:r>
        <w:rPr/>
        <w:t>This Technical Specification has been produced by the 3rd Generation Partnership Project (3GPP).</w:t>
      </w:r>
    </w:p>
    <w:p>
      <w:pPr>
        <w:pStyle w:val="Normal"/>
        <w:rPr/>
      </w:pPr>
      <w:r>
        <w:rPr/>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pPr>
        <w:pStyle w:val="B1"/>
        <w:rPr/>
      </w:pPr>
      <w:r>
        <w:rPr/>
        <w:t>Version x.y.z</w:t>
      </w:r>
    </w:p>
    <w:p>
      <w:pPr>
        <w:pStyle w:val="B1"/>
        <w:rPr/>
      </w:pPr>
      <w:r>
        <w:rPr/>
        <w:t>where:</w:t>
      </w:r>
    </w:p>
    <w:p>
      <w:pPr>
        <w:pStyle w:val="B2"/>
        <w:rPr/>
      </w:pPr>
      <w:r>
        <w:rPr/>
        <w:t>x</w:t>
        <w:tab/>
        <w:t>the first digit:</w:t>
      </w:r>
    </w:p>
    <w:p>
      <w:pPr>
        <w:pStyle w:val="B3"/>
        <w:rPr/>
      </w:pPr>
      <w:r>
        <w:rPr/>
        <w:t>1</w:t>
        <w:tab/>
        <w:t>presented to TSG for information;</w:t>
      </w:r>
    </w:p>
    <w:p>
      <w:pPr>
        <w:pStyle w:val="B3"/>
        <w:rPr/>
      </w:pPr>
      <w:r>
        <w:rPr/>
        <w:t>2</w:t>
        <w:tab/>
        <w:t>presented to TSG for approval;</w:t>
      </w:r>
    </w:p>
    <w:p>
      <w:pPr>
        <w:pStyle w:val="B3"/>
        <w:rPr/>
      </w:pPr>
      <w:r>
        <w:rPr/>
        <w:t>3</w:t>
        <w:tab/>
        <w:t>or greater indicates TSG approved document under change control.</w:t>
      </w:r>
    </w:p>
    <w:p>
      <w:pPr>
        <w:pStyle w:val="B2"/>
        <w:rPr/>
      </w:pPr>
      <w:r>
        <w:rPr/>
        <w:t>y</w:t>
        <w:tab/>
        <w:t>the second digit is incremented for all changes of substance, i.e. technical enhancements, corrections, updates, etc.</w:t>
      </w:r>
    </w:p>
    <w:p>
      <w:pPr>
        <w:pStyle w:val="B2"/>
        <w:rPr/>
      </w:pPr>
      <w:r>
        <w:rPr/>
        <w:t>z</w:t>
        <w:tab/>
        <w:t>the third digit is incremented when editorial only changes have been incorporated in the document.</w:t>
      </w:r>
    </w:p>
    <w:p>
      <w:pPr>
        <w:pStyle w:val="Normal"/>
        <w:rPr/>
      </w:pPr>
      <w:r>
        <w:rPr/>
        <w:t>In the present document, modal verbs have the following meanings:</w:t>
      </w:r>
    </w:p>
    <w:p>
      <w:pPr>
        <w:pStyle w:val="EX"/>
        <w:rPr/>
      </w:pPr>
      <w:r>
        <w:rPr>
          <w:b/>
        </w:rPr>
        <w:t>shall</w:t>
      </w:r>
      <w:r>
        <w:rPr/>
        <w:tab/>
        <w:tab/>
        <w:t>indicates a mandatory requirement to do something</w:t>
      </w:r>
    </w:p>
    <w:p>
      <w:pPr>
        <w:pStyle w:val="EX"/>
        <w:rPr/>
      </w:pPr>
      <w:r>
        <w:rPr>
          <w:b/>
        </w:rPr>
        <w:t>shall not</w:t>
      </w:r>
      <w:r>
        <w:rPr/>
        <w:tab/>
        <w:t>indicates an interdiction (prohibition) to do something</w:t>
      </w:r>
    </w:p>
    <w:p>
      <w:pPr>
        <w:pStyle w:val="Normal"/>
        <w:rPr/>
      </w:pPr>
      <w:r>
        <w:rPr/>
        <w:t>The constructions "shall" and "shall not" are confined to the context of normative provisions, and do not appear in Technical Reports.</w:t>
      </w:r>
    </w:p>
    <w:p>
      <w:pPr>
        <w:pStyle w:val="Normal"/>
        <w:rPr/>
      </w:pPr>
      <w:r>
        <w:rPr/>
        <w:t>The constructions "must" and "must not" are not used as substitutes for "shall" and "shall not". Their use is avoided insofar as possible, and they are not used in a normative context except in a direct citation from an external, referenced, non-3GPP document, or so as to maintain continuity of style when extending or modifying the provisions of such a referenced document.</w:t>
      </w:r>
    </w:p>
    <w:p>
      <w:pPr>
        <w:pStyle w:val="EX"/>
        <w:rPr/>
      </w:pPr>
      <w:r>
        <w:rPr>
          <w:b/>
        </w:rPr>
        <w:t>should</w:t>
      </w:r>
      <w:r>
        <w:rPr/>
        <w:tab/>
        <w:tab/>
        <w:t>indicates a recommendation to do something</w:t>
      </w:r>
    </w:p>
    <w:p>
      <w:pPr>
        <w:pStyle w:val="EX"/>
        <w:rPr/>
      </w:pPr>
      <w:r>
        <w:rPr>
          <w:b/>
        </w:rPr>
        <w:t>should not</w:t>
      </w:r>
      <w:r>
        <w:rPr/>
        <w:tab/>
        <w:t>indicates a recommendation not to do something</w:t>
      </w:r>
    </w:p>
    <w:p>
      <w:pPr>
        <w:pStyle w:val="EX"/>
        <w:rPr/>
      </w:pPr>
      <w:r>
        <w:rPr>
          <w:b/>
        </w:rPr>
        <w:t>may</w:t>
      </w:r>
      <w:r>
        <w:rPr/>
        <w:tab/>
        <w:tab/>
        <w:t>indicates permission to do something</w:t>
      </w:r>
    </w:p>
    <w:p>
      <w:pPr>
        <w:pStyle w:val="EX"/>
        <w:rPr/>
      </w:pPr>
      <w:r>
        <w:rPr>
          <w:b/>
        </w:rPr>
        <w:t>need not</w:t>
      </w:r>
      <w:r>
        <w:rPr/>
        <w:tab/>
        <w:t>indicates permission not to do something</w:t>
      </w:r>
    </w:p>
    <w:p>
      <w:pPr>
        <w:pStyle w:val="Normal"/>
        <w:rPr/>
      </w:pPr>
      <w:r>
        <w:rPr/>
        <w:t>The construction "may not" is ambiguous and is not used in normative elements. The unambiguous constructions "might not" or "shall not" are used instead, depending upon the meaning intended.</w:t>
      </w:r>
    </w:p>
    <w:p>
      <w:pPr>
        <w:pStyle w:val="EX"/>
        <w:rPr/>
      </w:pPr>
      <w:r>
        <w:rPr>
          <w:b/>
        </w:rPr>
        <w:t>can</w:t>
      </w:r>
      <w:r>
        <w:rPr/>
        <w:tab/>
        <w:tab/>
        <w:t>indicates that something is possible</w:t>
      </w:r>
    </w:p>
    <w:p>
      <w:pPr>
        <w:pStyle w:val="EX"/>
        <w:rPr/>
      </w:pPr>
      <w:r>
        <w:rPr>
          <w:b/>
        </w:rPr>
        <w:t>cannot</w:t>
      </w:r>
      <w:r>
        <w:rPr/>
        <w:tab/>
        <w:tab/>
        <w:t>indicates that something is impossible</w:t>
      </w:r>
    </w:p>
    <w:p>
      <w:pPr>
        <w:pStyle w:val="Normal"/>
        <w:rPr/>
      </w:pPr>
      <w:r>
        <w:rPr/>
        <w:t>The constructions "can" and "cannot" are not substitutes for "may" and "need not".</w:t>
      </w:r>
    </w:p>
    <w:p>
      <w:pPr>
        <w:pStyle w:val="EX"/>
        <w:rPr/>
      </w:pPr>
      <w:r>
        <w:rPr>
          <w:b/>
        </w:rPr>
        <w:t>will</w:t>
      </w:r>
      <w:r>
        <w:rPr/>
        <w:tab/>
        <w:tab/>
        <w:t>indicates that something is certain or expected to happen as a result of action taken by an agency the behaviour of which is outside the scope of the present document</w:t>
      </w:r>
    </w:p>
    <w:p>
      <w:pPr>
        <w:pStyle w:val="EX"/>
        <w:rPr/>
      </w:pPr>
      <w:r>
        <w:rPr>
          <w:b/>
        </w:rPr>
        <w:t>will not</w:t>
      </w:r>
      <w:r>
        <w:rPr/>
        <w:tab/>
        <w:tab/>
        <w:t>indicates that something is certain or expected not to happen as a result of action taken by an agency the behaviour of which is outside the scope of the present document</w:t>
      </w:r>
    </w:p>
    <w:p>
      <w:pPr>
        <w:pStyle w:val="EX"/>
        <w:rPr/>
      </w:pPr>
      <w:r>
        <w:rPr>
          <w:b/>
        </w:rPr>
        <w:t>might</w:t>
      </w:r>
      <w:r>
        <w:rPr/>
        <w:tab/>
        <w:t>indicates a likelihood that something will happen as a result of action taken by some agency the behaviour of which is outside the scope of the present document</w:t>
      </w:r>
    </w:p>
    <w:p>
      <w:pPr>
        <w:pStyle w:val="EX"/>
        <w:rPr/>
      </w:pPr>
      <w:r>
        <w:rPr>
          <w:b/>
        </w:rPr>
        <w:t>might not</w:t>
      </w:r>
      <w:r>
        <w:rPr/>
        <w:tab/>
        <w:t>indicates a likelihood that something will not happen as a result of action taken by some agency the behaviour of which is outside the scope of the present document</w:t>
      </w:r>
    </w:p>
    <w:p>
      <w:pPr>
        <w:pStyle w:val="Normal"/>
        <w:rPr/>
      </w:pPr>
      <w:r>
        <w:rPr/>
        <w:t>In addition:</w:t>
      </w:r>
    </w:p>
    <w:p>
      <w:pPr>
        <w:pStyle w:val="EX"/>
        <w:rPr/>
      </w:pPr>
      <w:r>
        <w:rPr>
          <w:b/>
        </w:rPr>
        <w:t>is</w:t>
      </w:r>
      <w:r>
        <w:rPr/>
        <w:tab/>
        <w:t>(or any other verb in the indicative mood) indicates a statement of fact</w:t>
      </w:r>
    </w:p>
    <w:p>
      <w:pPr>
        <w:pStyle w:val="EX"/>
        <w:rPr/>
      </w:pPr>
      <w:r>
        <w:rPr>
          <w:b/>
        </w:rPr>
        <w:t>is not</w:t>
      </w:r>
      <w:r>
        <w:rPr/>
        <w:tab/>
        <w:t>(or any other negative verb in the indicative mood) indicates a statement of fact</w:t>
      </w:r>
    </w:p>
    <w:p>
      <w:pPr>
        <w:pStyle w:val="Normal"/>
        <w:rPr/>
      </w:pPr>
      <w:r>
        <w:rPr/>
        <w:t>The constructions "is" and "is not" do not indicate requirements.</w:t>
      </w:r>
    </w:p>
    <w:p>
      <w:pPr>
        <w:pStyle w:val="B2"/>
        <w:rPr/>
      </w:pPr>
      <w:r>
        <w:rPr/>
      </w:r>
      <w:r>
        <w:br w:type="page"/>
      </w:r>
    </w:p>
    <w:p>
      <w:pPr>
        <w:pStyle w:val="Heading1"/>
        <w:rPr/>
      </w:pPr>
      <w:bookmarkStart w:id="12" w:name="__RefHeading___Toc137651436"/>
      <w:bookmarkStart w:id="13" w:name="historyclause"/>
      <w:bookmarkEnd w:id="12"/>
      <w:r>
        <w:rPr/>
        <w:t>1</w:t>
        <w:tab/>
        <w:t>Scope</w:t>
      </w:r>
    </w:p>
    <w:p>
      <w:pPr>
        <w:pStyle w:val="Normal"/>
        <w:rPr>
          <w:lang w:eastAsia="zh-CN"/>
        </w:rPr>
      </w:pPr>
      <w:r>
        <w:rPr>
          <w:lang w:eastAsia="zh-CN"/>
        </w:rPr>
        <w:t>The present document contains requirements and test cases that are specific to the SMF network product class. It refers to the Catalogue of General Security Assurance Requirements and formulates specific adaptions of the requirements and test cases given there, as well as specifying requirements and test cases unique to the SMF network product class.</w:t>
      </w:r>
    </w:p>
    <w:p>
      <w:pPr>
        <w:pStyle w:val="Heading1"/>
        <w:rPr/>
      </w:pPr>
      <w:bookmarkStart w:id="14" w:name="__RefHeading___Toc137651437"/>
      <w:bookmarkEnd w:id="14"/>
      <w:r>
        <w:rPr/>
        <w:t>2</w:t>
        <w:tab/>
        <w:t>References</w:t>
      </w:r>
    </w:p>
    <w:p>
      <w:pPr>
        <w:pStyle w:val="Normal"/>
        <w:rPr/>
      </w:pPr>
      <w:r>
        <w:rPr/>
        <w:t>The following documents contain provisions which, through reference in this text, constitute provisions of the present document.</w:t>
      </w:r>
    </w:p>
    <w:p>
      <w:pPr>
        <w:pStyle w:val="B1"/>
        <w:rPr/>
      </w:pPr>
      <w:r>
        <w:rPr/>
        <w:t>-</w:t>
        <w:tab/>
        <w:t>References are either specific (identified by date of publication, edition number, version number, etc.) or non</w:t>
        <w:noBreakHyphen/>
        <w:t>specific.</w:t>
      </w:r>
    </w:p>
    <w:p>
      <w:pPr>
        <w:pStyle w:val="B1"/>
        <w:rPr/>
      </w:pPr>
      <w:r>
        <w:rPr/>
        <w:t>-</w:t>
        <w:tab/>
        <w:t>For a specific reference, subsequent revisions do not apply.</w:t>
      </w:r>
    </w:p>
    <w:p>
      <w:pPr>
        <w:pStyle w:val="B1"/>
        <w:rPr/>
      </w:pPr>
      <w:r>
        <w:rPr/>
        <w:t>-</w:t>
        <w:tab/>
        <w:t>For a non-specific reference, the latest version applies. In the case of a reference to a 3GPP document (including a GSM document), a non-specific reference implicitly refers to the latest version of that document</w:t>
      </w:r>
      <w:r>
        <w:rPr>
          <w:i/>
        </w:rPr>
        <w:t xml:space="preserve"> in the same Release as the present document</w:t>
      </w:r>
      <w:r>
        <w:rPr/>
        <w:t>.</w:t>
      </w:r>
    </w:p>
    <w:p>
      <w:pPr>
        <w:pStyle w:val="EX"/>
        <w:rPr/>
      </w:pPr>
      <w:r>
        <w:rPr/>
        <w:t>[1]</w:t>
        <w:tab/>
        <w:t>3GPP TS 23.501: "System Architecture for the 5G System".</w:t>
      </w:r>
    </w:p>
    <w:p>
      <w:pPr>
        <w:pStyle w:val="EX"/>
        <w:rPr>
          <w:lang w:eastAsia="zh-CN"/>
        </w:rPr>
      </w:pPr>
      <w:r>
        <w:rPr>
          <w:lang w:eastAsia="zh-CN"/>
        </w:rPr>
        <w:t>[2]</w:t>
        <w:tab/>
      </w:r>
      <w:r>
        <w:rPr/>
        <w:t>3GPP TS 33.117: "Catalogue of general security assurance requirements".</w:t>
      </w:r>
    </w:p>
    <w:p>
      <w:pPr>
        <w:pStyle w:val="EX"/>
        <w:rPr/>
      </w:pPr>
      <w:r>
        <w:rPr>
          <w:lang w:eastAsia="zh-CN"/>
        </w:rPr>
        <w:t>[</w:t>
      </w:r>
      <w:r>
        <w:rPr>
          <w:lang w:eastAsia="zh-CN"/>
        </w:rPr>
        <w:t>3</w:t>
      </w:r>
      <w:r>
        <w:rPr>
          <w:lang w:eastAsia="zh-CN"/>
        </w:rPr>
        <w:t>]</w:t>
        <w:tab/>
      </w:r>
      <w:r>
        <w:rPr/>
        <w:t>3GPP TS 23.060: "General Packet Radio Service".</w:t>
      </w:r>
    </w:p>
    <w:p>
      <w:pPr>
        <w:pStyle w:val="EX"/>
        <w:rPr/>
      </w:pPr>
      <w:r>
        <w:rPr/>
        <w:t>[4]</w:t>
        <w:tab/>
        <w:t>3GPP TR 33.926: "Security Assurance Specification (SCAS) threats and critical assets in 3GPP network product classes".</w:t>
      </w:r>
    </w:p>
    <w:p>
      <w:pPr>
        <w:pStyle w:val="EX"/>
        <w:rPr/>
      </w:pPr>
      <w:r>
        <w:rPr/>
        <w:t>[5]</w:t>
        <w:tab/>
        <w:t>3GPP TS 29.281: "General Packet Radio System (GPRS) Tunnelling Protocol User Plane (GTPv1-U) ".</w:t>
      </w:r>
    </w:p>
    <w:p>
      <w:pPr>
        <w:pStyle w:val="EX"/>
        <w:rPr/>
      </w:pPr>
      <w:r>
        <w:rPr/>
        <w:t>[6]</w:t>
        <w:tab/>
        <w:t>3GPP TS 32.255: "Charging Management</w:t>
      </w:r>
      <w:r>
        <w:rPr/>
        <w:t>;</w:t>
      </w:r>
      <w:r>
        <w:rPr/>
        <w:t xml:space="preserve"> 5G Data Connectivity Domain Charging".</w:t>
      </w:r>
    </w:p>
    <w:p>
      <w:pPr>
        <w:pStyle w:val="EX"/>
        <w:rPr/>
      </w:pPr>
      <w:r>
        <w:rPr/>
        <w:t>[7]</w:t>
        <w:tab/>
        <w:t>3GPP TR 21.905: "Vocabulary for 3GPP Specifications".</w:t>
      </w:r>
    </w:p>
    <w:p>
      <w:pPr>
        <w:pStyle w:val="EX"/>
        <w:rPr/>
      </w:pPr>
      <w:r>
        <w:rPr/>
        <w:t>[8]</w:t>
        <w:tab/>
        <w:t>3GPP TS 33.501: "Security architecture and procedures for 5G system".</w:t>
      </w:r>
    </w:p>
    <w:p>
      <w:pPr>
        <w:pStyle w:val="Heading1"/>
        <w:rPr/>
      </w:pPr>
      <w:bookmarkStart w:id="15" w:name="__RefHeading___Toc137651438"/>
      <w:bookmarkEnd w:id="15"/>
      <w:r>
        <w:rPr/>
        <w:t>3</w:t>
        <w:tab/>
        <w:t>Definitions of terms, symbols and abbreviations</w:t>
      </w:r>
    </w:p>
    <w:p>
      <w:pPr>
        <w:pStyle w:val="Heading2"/>
        <w:ind w:hanging="1134" w:left="1134"/>
        <w:rPr/>
      </w:pPr>
      <w:bookmarkStart w:id="16" w:name="__RefHeading___Toc137651439"/>
      <w:bookmarkEnd w:id="16"/>
      <w:r>
        <w:rPr/>
        <w:t>3.1</w:t>
        <w:tab/>
        <w:t>Terms</w:t>
      </w:r>
    </w:p>
    <w:p>
      <w:pPr>
        <w:pStyle w:val="Normal"/>
        <w:rPr/>
      </w:pPr>
      <w:r>
        <w:rPr/>
        <w:t xml:space="preserve">For the purposes of the present document, the terms given in </w:t>
      </w:r>
      <w:bookmarkStart w:id="17" w:name="OLE_LINK8"/>
      <w:bookmarkStart w:id="18" w:name="OLE_LINK7"/>
      <w:bookmarkStart w:id="19" w:name="OLE_LINK6"/>
      <w:r>
        <w:rPr/>
        <w:t xml:space="preserve">3GPP </w:t>
      </w:r>
      <w:bookmarkEnd w:id="17"/>
      <w:bookmarkEnd w:id="18"/>
      <w:bookmarkEnd w:id="19"/>
      <w:r>
        <w:rPr/>
        <w:t>TR</w:t>
      </w:r>
      <w:r>
        <w:rPr>
          <w:lang w:eastAsia="zh-CN"/>
        </w:rPr>
        <w:t xml:space="preserve"> </w:t>
      </w:r>
      <w:r>
        <w:rPr/>
        <w:t>21.905</w:t>
      </w:r>
      <w:r>
        <w:rPr>
          <w:lang w:eastAsia="zh-CN"/>
        </w:rPr>
        <w:t xml:space="preserve"> </w:t>
      </w:r>
      <w:r>
        <w:rPr/>
        <w:t>[7] and the following apply. A term defined in the present document takes precedence over the definition of the same term, if any, in 3GPP TR</w:t>
      </w:r>
      <w:r>
        <w:rPr>
          <w:lang w:eastAsia="zh-CN"/>
        </w:rPr>
        <w:t xml:space="preserve"> </w:t>
      </w:r>
      <w:r>
        <w:rPr/>
        <w:t>21.905</w:t>
      </w:r>
      <w:r>
        <w:rPr>
          <w:lang w:eastAsia="zh-CN"/>
        </w:rPr>
        <w:t xml:space="preserve"> </w:t>
      </w:r>
      <w:r>
        <w:rPr/>
        <w:t>[7].</w:t>
      </w:r>
    </w:p>
    <w:p>
      <w:pPr>
        <w:pStyle w:val="Heading2"/>
        <w:ind w:hanging="1134" w:left="1134"/>
        <w:rPr/>
      </w:pPr>
      <w:bookmarkStart w:id="20" w:name="__RefHeading___Toc137651440"/>
      <w:bookmarkEnd w:id="20"/>
      <w:r>
        <w:rPr/>
        <w:t>3.2</w:t>
        <w:tab/>
        <w:t>Symbols</w:t>
      </w:r>
    </w:p>
    <w:p>
      <w:pPr>
        <w:pStyle w:val="Normal"/>
        <w:rPr/>
      </w:pPr>
      <w:r>
        <w:rPr/>
        <w:t>Void.</w:t>
      </w:r>
    </w:p>
    <w:p>
      <w:pPr>
        <w:pStyle w:val="Heading2"/>
        <w:ind w:hanging="1134" w:left="1134"/>
        <w:rPr/>
      </w:pPr>
      <w:bookmarkStart w:id="21" w:name="__RefHeading___Toc137651441"/>
      <w:bookmarkEnd w:id="21"/>
      <w:r>
        <w:rPr/>
        <w:t>3.3</w:t>
        <w:tab/>
        <w:t>Abbreviations</w:t>
      </w:r>
    </w:p>
    <w:p>
      <w:pPr>
        <w:pStyle w:val="Normal"/>
        <w:keepNext w:val="true"/>
        <w:rPr/>
      </w:pPr>
      <w:r>
        <w:rPr/>
        <w:t>For the purposes of the present document, the abbreviations given in 3GPP TR 21.905 [1] and the following apply. An abbreviation defined in the present document takes precedence over the definition of the same abbreviation, if any, in 3GPP TR</w:t>
      </w:r>
      <w:r>
        <w:rPr>
          <w:lang w:eastAsia="zh-CN"/>
        </w:rPr>
        <w:t xml:space="preserve"> </w:t>
      </w:r>
      <w:r>
        <w:rPr/>
        <w:t>21.905</w:t>
      </w:r>
      <w:r>
        <w:rPr>
          <w:lang w:eastAsia="zh-CN"/>
        </w:rPr>
        <w:t xml:space="preserve"> </w:t>
      </w:r>
      <w:r>
        <w:rPr/>
        <w:t>[1].</w:t>
      </w:r>
    </w:p>
    <w:p>
      <w:pPr>
        <w:pStyle w:val="EW"/>
        <w:rPr/>
      </w:pPr>
      <w:r>
        <w:rPr/>
        <w:t>CHF</w:t>
        <w:tab/>
        <w:t>Charging Function</w:t>
      </w:r>
    </w:p>
    <w:p>
      <w:pPr>
        <w:pStyle w:val="EW"/>
        <w:rPr/>
      </w:pPr>
      <w:r>
        <w:rPr/>
        <w:t>SCAS</w:t>
        <w:tab/>
        <w:t>Security Assurance Specification</w:t>
      </w:r>
    </w:p>
    <w:p>
      <w:pPr>
        <w:pStyle w:val="EW"/>
        <w:rPr/>
      </w:pPr>
      <w:r>
        <w:rPr/>
        <w:t>SMF</w:t>
        <w:tab/>
        <w:t>Session Management Function</w:t>
      </w:r>
    </w:p>
    <w:p>
      <w:pPr>
        <w:pStyle w:val="EW"/>
        <w:rPr/>
      </w:pPr>
      <w:r>
        <w:rPr/>
        <w:t>TEID</w:t>
        <w:tab/>
        <w:t>Tunnel Endpoint Identifier</w:t>
      </w:r>
    </w:p>
    <w:p>
      <w:pPr>
        <w:pStyle w:val="EW"/>
        <w:rPr/>
      </w:pPr>
      <w:r>
        <w:rPr/>
        <w:t>UDM</w:t>
        <w:tab/>
        <w:t>Unified Data Management Function</w:t>
      </w:r>
    </w:p>
    <w:p>
      <w:pPr>
        <w:pStyle w:val="EW"/>
        <w:rPr/>
      </w:pPr>
      <w:r>
        <w:rPr/>
        <w:t>UPF</w:t>
        <w:tab/>
        <w:t>User Plane Function</w:t>
      </w:r>
    </w:p>
    <w:p>
      <w:pPr>
        <w:pStyle w:val="Heading1"/>
        <w:rPr/>
      </w:pPr>
      <w:bookmarkStart w:id="22" w:name="__RefHeading___Toc137651442"/>
      <w:bookmarkEnd w:id="22"/>
      <w:r>
        <w:rPr/>
        <w:t>4</w:t>
        <w:tab/>
      </w:r>
      <w:r>
        <w:rPr>
          <w:lang w:eastAsia="zh-CN"/>
        </w:rPr>
        <w:t>SMF</w:t>
      </w:r>
      <w:r>
        <w:rPr/>
        <w:t>-specific security requirements and related test cases</w:t>
      </w:r>
    </w:p>
    <w:p>
      <w:pPr>
        <w:pStyle w:val="Heading2"/>
        <w:ind w:hanging="1134" w:left="1134"/>
        <w:rPr/>
      </w:pPr>
      <w:bookmarkStart w:id="23" w:name="__RefHeading___Toc137651443"/>
      <w:bookmarkEnd w:id="23"/>
      <w:r>
        <w:rPr/>
        <w:t>4.1</w:t>
        <w:tab/>
        <w:t>Introduction</w:t>
      </w:r>
    </w:p>
    <w:p>
      <w:pPr>
        <w:pStyle w:val="Normal"/>
        <w:rPr/>
      </w:pPr>
      <w:r>
        <w:rPr/>
        <w:t xml:space="preserve">SMF specific security requirements include both SMF-specific security functional requirements in relevant specifications as well as security requirements introduced in the present document derived from the threats specific to SMF as described in TR 33.926 [4]. </w:t>
      </w:r>
    </w:p>
    <w:p>
      <w:pPr>
        <w:pStyle w:val="Heading2"/>
        <w:ind w:hanging="1134" w:left="1134"/>
        <w:rPr/>
      </w:pPr>
      <w:bookmarkStart w:id="24" w:name="__RefHeading___Toc137651444"/>
      <w:bookmarkEnd w:id="24"/>
      <w:r>
        <w:rPr/>
        <w:t>4.2</w:t>
        <w:tab/>
      </w:r>
      <w:r>
        <w:rPr>
          <w:lang w:eastAsia="zh-CN"/>
        </w:rPr>
        <w:t>SMF</w:t>
      </w:r>
      <w:r>
        <w:rPr/>
        <w:t xml:space="preserve">-specific </w:t>
      </w:r>
      <w:r>
        <w:rPr>
          <w:lang w:eastAsia="zh-CN"/>
        </w:rPr>
        <w:t xml:space="preserve">adaptations of </w:t>
      </w:r>
      <w:r>
        <w:rPr/>
        <w:t>security functional requirements</w:t>
      </w:r>
      <w:r>
        <w:rPr>
          <w:lang w:eastAsia="zh-CN"/>
        </w:rPr>
        <w:t xml:space="preserve"> and related test cases</w:t>
      </w:r>
    </w:p>
    <w:p>
      <w:pPr>
        <w:pStyle w:val="Heading3"/>
        <w:ind w:hanging="1134" w:left="1134"/>
        <w:rPr/>
      </w:pPr>
      <w:bookmarkStart w:id="25" w:name="__RefHeading___Toc137651445"/>
      <w:bookmarkEnd w:id="25"/>
      <w:r>
        <w:rPr/>
        <w:t>4.2.1</w:t>
        <w:tab/>
        <w:t>Introduction</w:t>
      </w:r>
    </w:p>
    <w:p>
      <w:pPr>
        <w:pStyle w:val="Normal"/>
        <w:rPr/>
      </w:pPr>
      <w:r>
        <w:rPr>
          <w:lang w:eastAsia="zh-CN"/>
        </w:rPr>
        <w:t>Present clause contains SMF</w:t>
      </w:r>
      <w:r>
        <w:rPr/>
        <w:t xml:space="preserve">-specific security functional </w:t>
      </w:r>
      <w:r>
        <w:rPr>
          <w:lang w:eastAsia="zh-CN"/>
        </w:rPr>
        <w:t xml:space="preserve">adaptations of </w:t>
      </w:r>
      <w:r>
        <w:rPr/>
        <w:t>requirements</w:t>
      </w:r>
      <w:r>
        <w:rPr>
          <w:lang w:eastAsia="zh-CN"/>
        </w:rPr>
        <w:t xml:space="preserve"> and related test cases</w:t>
      </w:r>
      <w:r>
        <w:rPr>
          <w:lang w:eastAsia="zh-CN"/>
        </w:rPr>
        <w:t>.</w:t>
      </w:r>
    </w:p>
    <w:p>
      <w:pPr>
        <w:pStyle w:val="Heading3"/>
        <w:ind w:hanging="1134" w:left="1134"/>
        <w:rPr/>
      </w:pPr>
      <w:bookmarkStart w:id="26" w:name="__RefHeading___Toc137651446"/>
      <w:bookmarkEnd w:id="26"/>
      <w:r>
        <w:rPr/>
        <w:t>4.2.2</w:t>
        <w:tab/>
        <w:t xml:space="preserve">Security functional requirements on the </w:t>
      </w:r>
      <w:r>
        <w:rPr>
          <w:lang w:eastAsia="zh-CN"/>
        </w:rPr>
        <w:t>SMF</w:t>
      </w:r>
      <w:r>
        <w:rPr/>
        <w:t xml:space="preserve"> deriving from 3GPP specifications and related test cases</w:t>
      </w:r>
    </w:p>
    <w:p>
      <w:pPr>
        <w:pStyle w:val="Heading4"/>
        <w:rPr/>
      </w:pPr>
      <w:bookmarkStart w:id="27" w:name="__RefHeading___Toc137651447"/>
      <w:r>
        <w:rPr/>
        <w:t>4.2.2.1</w:t>
        <w:tab/>
        <w:t xml:space="preserve">Security functional requirements on the </w:t>
      </w:r>
      <w:r>
        <w:rPr>
          <w:lang w:eastAsia="zh-CN"/>
        </w:rPr>
        <w:t>SMF</w:t>
      </w:r>
      <w:r>
        <w:rPr/>
        <w:t xml:space="preserve"> deriving from 3GPP specifications</w:t>
      </w:r>
      <w:bookmarkEnd w:id="27"/>
      <w:r>
        <w:rPr/>
        <w:t xml:space="preserve"> </w:t>
      </w:r>
    </w:p>
    <w:p>
      <w:pPr>
        <w:pStyle w:val="Heading4"/>
        <w:rPr>
          <w:rFonts w:eastAsia="SimSun;宋体"/>
        </w:rPr>
      </w:pPr>
      <w:bookmarkStart w:id="28" w:name="__RefHeading___Toc137651448"/>
      <w:bookmarkEnd w:id="28"/>
      <w:r>
        <w:rPr>
          <w:rFonts w:eastAsia="SimSun;宋体"/>
        </w:rPr>
        <w:t>4.2.2.1.0</w:t>
        <w:tab/>
        <w:t>General</w:t>
      </w:r>
    </w:p>
    <w:p>
      <w:pPr>
        <w:pStyle w:val="Normal"/>
        <w:rPr/>
      </w:pPr>
      <w:r>
        <w:rPr/>
        <w:t>The general approach in TS 33.117 [2] clause 4.2.2.1 and all the requirements and test cases in TS 33.117 [2] clause 4.2.2.2 related to SBA/SBI aspect apply to the SMF network product class.</w:t>
      </w:r>
    </w:p>
    <w:p>
      <w:pPr>
        <w:pStyle w:val="Heading5"/>
        <w:rPr>
          <w:color w:val="FF0000"/>
        </w:rPr>
      </w:pPr>
      <w:bookmarkStart w:id="29" w:name="__RefHeading___Toc137651449"/>
      <w:bookmarkEnd w:id="29"/>
      <w:r>
        <w:rPr/>
        <w:t>4.2.2.1.1</w:t>
        <w:tab/>
      </w:r>
      <w:r>
        <w:rPr>
          <w:lang w:eastAsia="zh-CN"/>
        </w:rPr>
        <w:t>Priority of UP security policy</w:t>
      </w:r>
    </w:p>
    <w:p>
      <w:pPr>
        <w:pStyle w:val="Normal"/>
        <w:ind w:left="284" w:right="0"/>
        <w:rPr>
          <w:lang w:eastAsia="zh-CN"/>
        </w:rPr>
      </w:pPr>
      <w:r>
        <w:rPr>
          <w:i/>
        </w:rPr>
        <w:t>Requirement Name</w:t>
      </w:r>
      <w:r>
        <w:rPr/>
        <w:t>: Priority of UP security policy</w:t>
      </w:r>
    </w:p>
    <w:p>
      <w:pPr>
        <w:pStyle w:val="Normal"/>
        <w:ind w:left="284" w:right="0"/>
        <w:rPr/>
      </w:pPr>
      <w:r>
        <w:rPr>
          <w:i/>
        </w:rPr>
        <w:t xml:space="preserve">Requirement Reference: </w:t>
      </w:r>
      <w:r>
        <w:rPr/>
        <w:t xml:space="preserve">TS 23.501 [1], clause 5.10.3 </w:t>
      </w:r>
    </w:p>
    <w:p>
      <w:pPr>
        <w:pStyle w:val="Normal"/>
        <w:ind w:left="284" w:right="0"/>
        <w:rPr/>
      </w:pPr>
      <w:r>
        <w:rPr>
          <w:i/>
        </w:rPr>
        <w:t>Requirement Description</w:t>
      </w:r>
      <w:r>
        <w:rPr/>
        <w:t>: User Plane Security Policy from UDM takes precedence over locally configured User Plane Security Policy</w:t>
      </w:r>
      <w:r>
        <w:rPr>
          <w:lang w:eastAsia="zh-CN"/>
        </w:rPr>
        <w:t xml:space="preserve"> as specified in </w:t>
      </w:r>
      <w:r>
        <w:rPr/>
        <w:t xml:space="preserve">TS 23.501 </w:t>
      </w:r>
      <w:r>
        <w:rPr>
          <w:lang w:eastAsia="zh-CN"/>
        </w:rPr>
        <w:t>[</w:t>
      </w:r>
      <w:r>
        <w:rPr>
          <w:lang w:eastAsia="zh-CN"/>
        </w:rPr>
        <w:t>1</w:t>
      </w:r>
      <w:r>
        <w:rPr>
          <w:lang w:eastAsia="zh-CN"/>
        </w:rPr>
        <w:t>]</w:t>
      </w:r>
      <w:r>
        <w:rPr/>
        <w:t>, clause 5.10.3</w:t>
      </w:r>
    </w:p>
    <w:p>
      <w:pPr>
        <w:pStyle w:val="Normal"/>
        <w:ind w:left="284" w:right="0"/>
        <w:rPr>
          <w:color w:val="FF0000"/>
          <w:lang w:eastAsia="zh-CN"/>
        </w:rPr>
      </w:pPr>
      <w:r>
        <w:rPr>
          <w:i/>
        </w:rPr>
        <w:t>Threat References</w:t>
      </w:r>
      <w:r>
        <w:rPr/>
        <w:t>: TR 33.926 [4], clause J.2.2.1 Non-compliant UP security policy handling</w:t>
      </w:r>
      <w:r>
        <w:rPr>
          <w:rStyle w:val="CommentReference"/>
        </w:rPr>
        <w:t xml:space="preserve"> </w:t>
      </w:r>
    </w:p>
    <w:p>
      <w:pPr>
        <w:pStyle w:val="Normal"/>
        <w:ind w:left="284" w:right="0"/>
        <w:rPr/>
      </w:pPr>
      <w:r>
        <w:rPr>
          <w:i/>
        </w:rPr>
        <w:t>Test Case</w:t>
      </w:r>
      <w:r>
        <w:rPr/>
        <w:t xml:space="preserve">: </w:t>
      </w:r>
    </w:p>
    <w:p>
      <w:pPr>
        <w:pStyle w:val="Normal"/>
        <w:ind w:left="284" w:right="0"/>
        <w:rPr>
          <w:b/>
          <w:lang w:eastAsia="zh-CN"/>
        </w:rPr>
      </w:pPr>
      <w:r>
        <w:rPr>
          <w:b/>
          <w:lang w:eastAsia="zh-CN"/>
        </w:rPr>
        <w:t>Test Name: TC_UP_POLICY_PRECEDENCE_SMF</w:t>
      </w:r>
    </w:p>
    <w:p>
      <w:pPr>
        <w:pStyle w:val="Normal"/>
        <w:ind w:left="284" w:right="0"/>
        <w:rPr>
          <w:b/>
          <w:lang w:eastAsia="zh-CN"/>
        </w:rPr>
      </w:pPr>
      <w:r>
        <w:rPr>
          <w:b/>
          <w:lang w:eastAsia="zh-CN"/>
        </w:rPr>
        <w:t>Purpose:</w:t>
      </w:r>
    </w:p>
    <w:p>
      <w:pPr>
        <w:pStyle w:val="Normal"/>
        <w:ind w:left="284" w:right="0"/>
        <w:rPr/>
      </w:pPr>
      <w:r>
        <w:rPr>
          <w:lang w:eastAsia="zh-CN"/>
        </w:rPr>
        <w:t xml:space="preserve">Verify that the </w:t>
      </w:r>
      <w:r>
        <w:rPr>
          <w:lang w:eastAsia="zh-CN"/>
        </w:rPr>
        <w:t>user plane security policy from the UDM takes precedence at the SMF under test</w:t>
      </w:r>
      <w:r>
        <w:rPr/>
        <w:t xml:space="preserve"> over locally configured user plane security policy</w:t>
      </w:r>
      <w:r>
        <w:rPr>
          <w:lang w:eastAsia="zh-CN"/>
        </w:rPr>
        <w:t>.</w:t>
      </w:r>
    </w:p>
    <w:p>
      <w:pPr>
        <w:pStyle w:val="Normal"/>
        <w:ind w:left="284" w:right="0"/>
        <w:rPr>
          <w:b/>
          <w:lang w:eastAsia="zh-CN"/>
        </w:rPr>
      </w:pPr>
      <w:r>
        <w:rPr>
          <w:b/>
          <w:lang w:eastAsia="zh-CN"/>
        </w:rPr>
        <w:t>Pre-Conditions:</w:t>
      </w:r>
    </w:p>
    <w:p>
      <w:pPr>
        <w:pStyle w:val="Normal"/>
        <w:ind w:left="284" w:right="0"/>
        <w:rPr>
          <w:lang w:eastAsia="zh-CN"/>
        </w:rPr>
      </w:pPr>
      <w:r>
        <w:rPr>
          <w:lang w:eastAsia="zh-CN"/>
        </w:rPr>
        <w:t>Test environment with AMF and UDM may be simulated</w:t>
      </w:r>
      <w:r>
        <w:rPr>
          <w:lang w:eastAsia="zh-CN"/>
        </w:rPr>
        <w:t>.</w:t>
      </w:r>
    </w:p>
    <w:p>
      <w:pPr>
        <w:pStyle w:val="Normal"/>
        <w:ind w:left="284" w:right="0"/>
        <w:rPr>
          <w:lang w:eastAsia="zh-CN"/>
        </w:rPr>
      </w:pPr>
      <w:r>
        <w:rPr>
          <w:lang w:eastAsia="zh-CN"/>
        </w:rPr>
        <w:t>Both UDM and SMF under test are configured with UP security policy, and the UP security policies are different</w:t>
      </w:r>
      <w:r>
        <w:rPr>
          <w:lang w:eastAsia="zh-CN"/>
        </w:rPr>
        <w:t>.</w:t>
      </w:r>
    </w:p>
    <w:p>
      <w:pPr>
        <w:pStyle w:val="Normal"/>
        <w:ind w:left="284" w:right="0"/>
        <w:rPr>
          <w:lang w:eastAsia="zh-CN"/>
        </w:rPr>
      </w:pPr>
      <w:r>
        <w:rPr/>
        <w:t>There is no Session Management Subscription data in SMF.</w:t>
      </w:r>
    </w:p>
    <w:p>
      <w:pPr>
        <w:pStyle w:val="Normal"/>
        <w:ind w:left="284" w:right="0"/>
        <w:rPr>
          <w:b/>
          <w:lang w:eastAsia="zh-CN"/>
        </w:rPr>
      </w:pPr>
      <w:r>
        <w:rPr>
          <w:b/>
          <w:lang w:eastAsia="zh-CN"/>
        </w:rPr>
        <w:t>Execution Steps</w:t>
      </w:r>
    </w:p>
    <w:p>
      <w:pPr>
        <w:pStyle w:val="B1"/>
        <w:rPr/>
      </w:pPr>
      <w:r>
        <w:rPr>
          <w:rFonts w:eastAsia="MS Mincho;ＭＳ 明朝"/>
          <w:lang w:eastAsia="ja-JP"/>
        </w:rPr>
        <w:t>1)</w:t>
        <w:tab/>
        <w:t xml:space="preserve">The tester triggers PDU session establishment procedure by sending </w:t>
      </w:r>
      <w:r>
        <w:rPr/>
        <w:t xml:space="preserve">Nsmf_PDUSession_CreateSMContext Request </w:t>
      </w:r>
      <w:r>
        <w:rPr>
          <w:rFonts w:eastAsia="MS Mincho;ＭＳ 明朝"/>
          <w:lang w:eastAsia="ja-JP"/>
        </w:rPr>
        <w:t>message to the SMF</w:t>
      </w:r>
      <w:r>
        <w:rPr/>
        <w:t>.</w:t>
      </w:r>
    </w:p>
    <w:p>
      <w:pPr>
        <w:pStyle w:val="B1"/>
        <w:rPr>
          <w:lang w:eastAsia="zh-CN"/>
        </w:rPr>
      </w:pPr>
      <w:r>
        <w:rPr/>
        <w:t>2)</w:t>
        <w:tab/>
        <w:t xml:space="preserve">The SMF under test retrieves the Session Management Subscription data using Nudm_SDM_Get service from UDM, where the Session Management Subscription data includes the user plane security policy stored in UDM. </w:t>
      </w:r>
    </w:p>
    <w:p>
      <w:pPr>
        <w:pStyle w:val="B1"/>
        <w:rPr>
          <w:lang w:eastAsia="zh-CN"/>
        </w:rPr>
      </w:pPr>
      <w:r>
        <w:rPr>
          <w:lang w:eastAsia="zh-CN"/>
        </w:rPr>
        <w:t>3)</w:t>
        <w:tab/>
      </w:r>
      <w:r>
        <w:rPr>
          <w:lang w:eastAsia="zh-CN"/>
        </w:rPr>
        <w:t>The tester</w:t>
      </w:r>
      <w:r>
        <w:rPr>
          <w:lang w:eastAsia="zh-CN"/>
        </w:rPr>
        <w:t xml:space="preserve"> </w:t>
      </w:r>
      <w:r>
        <w:rPr>
          <w:rFonts w:eastAsia="MS Mincho;ＭＳ 明朝"/>
          <w:lang w:eastAsia="ja-JP"/>
        </w:rPr>
        <w:t xml:space="preserve">captures the </w:t>
      </w:r>
      <w:r>
        <w:rPr/>
        <w:t>Namf_Communication_N1N2MessageTransfer message sent from the SMF under test to the AMF</w:t>
      </w:r>
      <w:r>
        <w:rPr>
          <w:rFonts w:eastAsia="MS Mincho;ＭＳ 明朝"/>
          <w:lang w:eastAsia="ja-JP"/>
        </w:rPr>
        <w:t xml:space="preserve">. </w:t>
      </w:r>
    </w:p>
    <w:p>
      <w:pPr>
        <w:pStyle w:val="Normal"/>
        <w:ind w:left="284" w:right="0"/>
        <w:rPr>
          <w:b/>
          <w:lang w:eastAsia="zh-CN"/>
        </w:rPr>
      </w:pPr>
      <w:r>
        <w:rPr>
          <w:b/>
          <w:lang w:eastAsia="zh-CN"/>
        </w:rPr>
        <w:t>Expected Results:</w:t>
      </w:r>
    </w:p>
    <w:p>
      <w:pPr>
        <w:pStyle w:val="Normal"/>
        <w:ind w:left="284" w:right="0"/>
        <w:rPr>
          <w:lang w:eastAsia="zh-CN"/>
        </w:rPr>
      </w:pPr>
      <w:r>
        <w:rPr>
          <w:lang w:eastAsia="zh-CN"/>
        </w:rPr>
        <w:t xml:space="preserve">There is </w:t>
      </w:r>
      <w:r>
        <w:rPr>
          <w:lang w:eastAsia="zh-CN"/>
        </w:rPr>
        <w:t xml:space="preserve">a </w:t>
      </w:r>
      <w:r>
        <w:rPr/>
        <w:t xml:space="preserve">Security Indication IE </w:t>
      </w:r>
      <w:r>
        <w:rPr>
          <w:lang w:eastAsia="zh-CN"/>
        </w:rPr>
        <w:t xml:space="preserve">in the </w:t>
      </w:r>
      <w:r>
        <w:rPr/>
        <w:t xml:space="preserve">N2 SM information contained in the Namf_Communication_N1N2MessageTransfer </w:t>
      </w:r>
      <w:r>
        <w:rPr>
          <w:lang w:eastAsia="zh-CN"/>
        </w:rPr>
        <w:t xml:space="preserve">message, </w:t>
      </w:r>
      <w:r>
        <w:rPr>
          <w:lang w:eastAsia="zh-CN"/>
        </w:rPr>
        <w:t>which is the same with the UP security policy configured in the UDM.</w:t>
      </w:r>
    </w:p>
    <w:p>
      <w:pPr>
        <w:pStyle w:val="Normal"/>
        <w:ind w:left="284" w:right="0"/>
        <w:rPr>
          <w:b/>
          <w:lang w:eastAsia="zh-CN"/>
        </w:rPr>
      </w:pPr>
      <w:r>
        <w:rPr>
          <w:b/>
          <w:lang w:eastAsia="zh-CN"/>
        </w:rPr>
        <w:t>Expected format of evidence:</w:t>
      </w:r>
    </w:p>
    <w:p>
      <w:pPr>
        <w:pStyle w:val="Normal"/>
        <w:ind w:left="284" w:right="0"/>
        <w:rPr/>
      </w:pPr>
      <w:r>
        <w:rPr/>
        <w:t>Evidence suitable for the interface, e.g., Screenshot containing the operational results.</w:t>
      </w:r>
    </w:p>
    <w:p>
      <w:pPr>
        <w:pStyle w:val="Heading5"/>
        <w:rPr>
          <w:color w:val="FF0000"/>
          <w:lang w:eastAsia="zh-CN"/>
        </w:rPr>
      </w:pPr>
      <w:bookmarkStart w:id="30" w:name="__RefHeading___Toc137651450"/>
      <w:bookmarkEnd w:id="30"/>
      <w:r>
        <w:rPr/>
        <w:t>4.2.2.1.2</w:t>
        <w:tab/>
        <w:t>Void</w:t>
      </w:r>
    </w:p>
    <w:p>
      <w:pPr>
        <w:pStyle w:val="Heading5"/>
        <w:rPr>
          <w:lang w:eastAsia="zh-CN"/>
        </w:rPr>
      </w:pPr>
      <w:bookmarkStart w:id="31" w:name="__RefHeading___Toc137651451"/>
      <w:r>
        <w:rPr/>
        <w:t>4.2.2.1.3</w:t>
        <w:tab/>
        <w:t xml:space="preserve">Security functional requirements on the </w:t>
      </w:r>
      <w:r>
        <w:rPr>
          <w:lang w:eastAsia="zh-CN"/>
        </w:rPr>
        <w:t>SMF</w:t>
      </w:r>
      <w:r>
        <w:rPr/>
        <w:t xml:space="preserve"> checking UP security policy</w:t>
      </w:r>
      <w:bookmarkEnd w:id="31"/>
      <w:r>
        <w:rPr/>
        <w:t xml:space="preserve"> </w:t>
      </w:r>
    </w:p>
    <w:p>
      <w:pPr>
        <w:pStyle w:val="Normal"/>
        <w:rPr>
          <w:strike/>
        </w:rPr>
      </w:pPr>
      <w:r>
        <w:rPr>
          <w:i/>
        </w:rPr>
        <w:t>Requirement Name:</w:t>
      </w:r>
      <w:r>
        <w:rPr/>
        <w:t xml:space="preserve"> </w:t>
      </w:r>
      <w:r>
        <w:rPr>
          <w:lang w:eastAsia="ja-JP"/>
        </w:rPr>
        <w:t>UP security policy check.</w:t>
      </w:r>
    </w:p>
    <w:p>
      <w:pPr>
        <w:pStyle w:val="Normal"/>
        <w:rPr/>
      </w:pPr>
      <w:r>
        <w:rPr>
          <w:i/>
        </w:rPr>
        <w:t>Requirement Reference:</w:t>
      </w:r>
      <w:r>
        <w:rPr/>
        <w:t xml:space="preserve"> TS 33.501 [8], clause 6.6.1</w:t>
      </w:r>
    </w:p>
    <w:p>
      <w:pPr>
        <w:pStyle w:val="Normal"/>
        <w:rPr>
          <w:lang w:eastAsia="zh-CN" w:bidi="ar-IQ"/>
        </w:rPr>
      </w:pPr>
      <w:r>
        <w:rPr>
          <w:i/>
        </w:rPr>
        <w:t xml:space="preserve">Requirement Description: </w:t>
      </w:r>
      <w:r>
        <w:rPr>
          <w:iCs/>
        </w:rPr>
        <w:t xml:space="preserve">According to TS 33.501 [8], clause 6.6.1, </w:t>
      </w:r>
      <w:r>
        <w:rPr/>
        <w:t>the SMF verifies that the UE's UP security policy received from the target ng-eNB/gNB is the same as the UE's UP security policy that the SMF has locally stored. If there is a mismatch, the SMF sends its locally stored UE's UP security policy of the corresponding PDU sessions to the target gNB. This UP security policy information, if included by the SMF, is delivered to the target ng-eNB/gNB in the Path-Switch Acknowledge message. The SMF logs capabilities for this event and may take additional measures, such as raising an alarm.</w:t>
      </w:r>
    </w:p>
    <w:p>
      <w:pPr>
        <w:pStyle w:val="Normal"/>
        <w:rPr>
          <w:i/>
          <w:i/>
        </w:rPr>
      </w:pPr>
      <w:r>
        <w:rPr>
          <w:i/>
        </w:rPr>
        <w:t>Threat References:</w:t>
      </w:r>
      <w:r>
        <w:rPr/>
        <w:t xml:space="preserve"> TR 33.926 [4], clause J.2.2.4, Unchecked UP security policy.</w:t>
      </w:r>
    </w:p>
    <w:p>
      <w:pPr>
        <w:pStyle w:val="Normal"/>
        <w:rPr>
          <w:b/>
        </w:rPr>
      </w:pPr>
      <w:r>
        <w:rPr>
          <w:b/>
        </w:rPr>
        <w:t xml:space="preserve">TEST CASE: </w:t>
      </w:r>
    </w:p>
    <w:p>
      <w:pPr>
        <w:pStyle w:val="Normal"/>
        <w:rPr/>
      </w:pPr>
      <w:r>
        <w:rPr>
          <w:b/>
        </w:rPr>
        <w:t xml:space="preserve">Test Name: </w:t>
      </w:r>
      <w:r>
        <w:rPr/>
        <w:t>TC_UP_SECURITY_POLICY_SMF</w:t>
      </w:r>
    </w:p>
    <w:p>
      <w:pPr>
        <w:pStyle w:val="Normal"/>
        <w:rPr>
          <w:b/>
        </w:rPr>
      </w:pPr>
      <w:r>
        <w:rPr>
          <w:b/>
        </w:rPr>
        <w:t>Purpose:</w:t>
      </w:r>
    </w:p>
    <w:p>
      <w:pPr>
        <w:pStyle w:val="Normal"/>
        <w:rPr/>
      </w:pPr>
      <w:r>
        <w:rPr/>
        <w:t>Verify that the SMF checks the UP security policy that is sent by the ng-eNB</w:t>
      </w:r>
      <w:r>
        <w:rPr>
          <w:lang w:eastAsia="zh-CN"/>
        </w:rPr>
        <w:t>/gNB</w:t>
      </w:r>
      <w:r>
        <w:rPr/>
        <w:t xml:space="preserve"> during handover. </w:t>
      </w:r>
    </w:p>
    <w:p>
      <w:pPr>
        <w:pStyle w:val="Normal"/>
        <w:rPr>
          <w:b/>
        </w:rPr>
      </w:pPr>
      <w:r>
        <w:rPr>
          <w:b/>
        </w:rPr>
        <w:t>Pre-Conditions:</w:t>
      </w:r>
    </w:p>
    <w:p>
      <w:pPr>
        <w:pStyle w:val="Normal"/>
        <w:rPr>
          <w:lang w:eastAsia="zh-CN"/>
        </w:rPr>
      </w:pPr>
      <w:r>
        <w:rPr/>
        <w:t>The SMF under test is preconfigured with a UE UP security policy.</w:t>
      </w:r>
    </w:p>
    <w:p>
      <w:pPr>
        <w:pStyle w:val="Normal"/>
        <w:rPr>
          <w:b/>
        </w:rPr>
      </w:pPr>
      <w:r>
        <w:rPr>
          <w:b/>
        </w:rPr>
        <w:t xml:space="preserve">Execution </w:t>
      </w:r>
    </w:p>
    <w:p>
      <w:pPr>
        <w:pStyle w:val="B1"/>
        <w:rPr/>
      </w:pPr>
      <w:r>
        <w:rPr>
          <w:lang w:eastAsia="zh-CN"/>
        </w:rPr>
        <w:t>1.</w:t>
        <w:tab/>
        <w:t xml:space="preserve">The tester sends the Nsmf_PDUSession_UpdateSMContext Request message to the SMF under test. </w:t>
      </w:r>
      <w:r>
        <w:rPr>
          <w:lang w:eastAsia="zh-CN"/>
        </w:rPr>
        <w:t>A</w:t>
      </w:r>
      <w:r>
        <w:rPr>
          <w:lang w:eastAsia="zh-CN"/>
        </w:rPr>
        <w:t xml:space="preserve"> UE UP security policy different than the one preconfigured at the SMF under test is included in the Request message.</w:t>
      </w:r>
    </w:p>
    <w:p>
      <w:pPr>
        <w:pStyle w:val="B1"/>
        <w:rPr/>
      </w:pPr>
      <w:r>
        <w:rPr>
          <w:lang w:eastAsia="zh-CN"/>
        </w:rPr>
        <w:t>2.</w:t>
        <w:tab/>
        <w:t>The tester captures the Nsmf_PDUSession_UpdateSMContext Response message sent from the SMF under test.</w:t>
      </w:r>
    </w:p>
    <w:p>
      <w:pPr>
        <w:pStyle w:val="Normal"/>
        <w:rPr>
          <w:b/>
        </w:rPr>
      </w:pPr>
      <w:r>
        <w:rPr>
          <w:b/>
        </w:rPr>
        <w:t>Expected Results:</w:t>
      </w:r>
    </w:p>
    <w:p>
      <w:pPr>
        <w:pStyle w:val="Normal"/>
        <w:rPr/>
      </w:pPr>
      <w:r>
        <w:rPr/>
        <w:t>The preconfigured UE security policy is contained in the ‘n2SmInfo’ IE in the captured Response message.</w:t>
      </w:r>
    </w:p>
    <w:p>
      <w:pPr>
        <w:pStyle w:val="Normal"/>
        <w:rPr/>
      </w:pPr>
      <w:r>
        <w:rPr>
          <w:b/>
        </w:rPr>
        <w:t>Expected format of evidence:</w:t>
      </w:r>
    </w:p>
    <w:p>
      <w:pPr>
        <w:pStyle w:val="Normal"/>
        <w:rPr>
          <w:b/>
          <w:lang w:eastAsia="zh-CN"/>
        </w:rPr>
      </w:pPr>
      <w:r>
        <w:rPr/>
        <w:t>Files containing the triggered HTTP messages (e.g. pcap trace).</w:t>
      </w:r>
    </w:p>
    <w:p>
      <w:pPr>
        <w:pStyle w:val="Heading5"/>
        <w:rPr>
          <w:lang w:eastAsia="zh-CN"/>
        </w:rPr>
      </w:pPr>
      <w:bookmarkStart w:id="32" w:name="__RefHeading___Toc137651452"/>
      <w:bookmarkEnd w:id="32"/>
      <w:r>
        <w:rPr/>
        <w:t>4.2.2.1.4</w:t>
        <w:tab/>
        <w:t>Charging ID Uniqueness</w:t>
      </w:r>
    </w:p>
    <w:p>
      <w:pPr>
        <w:pStyle w:val="Normal"/>
        <w:rPr>
          <w:lang w:eastAsia="ja-JP"/>
        </w:rPr>
      </w:pPr>
      <w:r>
        <w:rPr>
          <w:i/>
        </w:rPr>
        <w:t>Requirement Name:</w:t>
      </w:r>
      <w:r>
        <w:rPr/>
        <w:t xml:space="preserve"> </w:t>
      </w:r>
      <w:r>
        <w:rPr>
          <w:lang w:eastAsia="ja-JP"/>
        </w:rPr>
        <w:t>Charging ID uniqueness.</w:t>
      </w:r>
    </w:p>
    <w:p>
      <w:pPr>
        <w:pStyle w:val="Normal"/>
        <w:rPr>
          <w:strike/>
        </w:rPr>
      </w:pPr>
      <w:r>
        <w:rPr>
          <w:i/>
        </w:rPr>
        <w:t>Requirement Reference:</w:t>
      </w:r>
      <w:r>
        <w:rPr/>
        <w:t xml:space="preserve"> </w:t>
      </w:r>
      <w:r>
        <w:rPr>
          <w:lang w:eastAsia="zh-CN" w:bidi="ar-IQ"/>
        </w:rPr>
        <w:t>TS 32.255 [6], clause 5.1.2</w:t>
      </w:r>
    </w:p>
    <w:p>
      <w:pPr>
        <w:pStyle w:val="Normal"/>
        <w:rPr>
          <w:lang w:eastAsia="zh-CN" w:bidi="ar-IQ"/>
        </w:rPr>
      </w:pPr>
      <w:r>
        <w:rPr>
          <w:i/>
        </w:rPr>
        <w:t>Requirement Description:</w:t>
      </w:r>
      <w:r>
        <w:rPr>
          <w:lang w:eastAsia="zh-CN" w:bidi="ar-IQ"/>
        </w:rPr>
        <w:t xml:space="preserve"> According to TS 32.255 [6], clause 5.1.2:</w:t>
      </w:r>
    </w:p>
    <w:p>
      <w:pPr>
        <w:pStyle w:val="B1"/>
        <w:rPr/>
      </w:pPr>
      <w:r>
        <w:rPr>
          <w:lang w:bidi="ar-IQ"/>
        </w:rPr>
        <w:t>-</w:t>
        <w:tab/>
        <w:t>The SMF supports PDU session charging using service based interface.</w:t>
      </w:r>
    </w:p>
    <w:p>
      <w:pPr>
        <w:pStyle w:val="B1"/>
        <w:rPr/>
      </w:pPr>
      <w:r>
        <w:rPr>
          <w:lang w:bidi="ar-IQ"/>
        </w:rPr>
        <w:t>-</w:t>
        <w:tab/>
        <w:t xml:space="preserve">The SMF </w:t>
      </w:r>
      <w:r>
        <w:rPr/>
        <w:t>collects charging information</w:t>
      </w:r>
      <w:r>
        <w:rPr>
          <w:lang w:bidi="ar-IQ"/>
        </w:rPr>
        <w:t xml:space="preserve"> per PDU session for UEs served under</w:t>
      </w:r>
      <w:r>
        <w:rPr>
          <w:lang w:eastAsia="ko-KR"/>
        </w:rPr>
        <w:t xml:space="preserve"> 3GPP access and non-3GPP access</w:t>
      </w:r>
      <w:r>
        <w:rPr>
          <w:lang w:bidi="ar-IQ"/>
        </w:rPr>
        <w:t>.</w:t>
      </w:r>
    </w:p>
    <w:p>
      <w:pPr>
        <w:pStyle w:val="B1"/>
        <w:rPr>
          <w:lang w:bidi="ar-IQ"/>
        </w:rPr>
      </w:pPr>
      <w:r>
        <w:rPr>
          <w:lang w:eastAsia="zh-CN" w:bidi="ar-IQ"/>
        </w:rPr>
        <w:t>-</w:t>
      </w:r>
      <w:r>
        <w:rPr>
          <w:lang w:bidi="ar-IQ"/>
        </w:rPr>
        <w:tab/>
        <w:t>Every PDU session is assigned a unique identity number for billing purposes per PLMN. (i.e. the Charging Id).</w:t>
      </w:r>
      <w:r>
        <w:rPr/>
        <w:t xml:space="preserve"> </w:t>
      </w:r>
    </w:p>
    <w:p>
      <w:pPr>
        <w:pStyle w:val="Normal"/>
        <w:rPr>
          <w:i/>
          <w:i/>
          <w:lang w:eastAsia="zh-CN"/>
        </w:rPr>
      </w:pPr>
      <w:r>
        <w:rPr>
          <w:i/>
          <w:lang w:eastAsia="zh-CN"/>
        </w:rPr>
        <w:t>T</w:t>
      </w:r>
      <w:r>
        <w:rPr>
          <w:i/>
          <w:lang w:eastAsia="zh-CN"/>
        </w:rPr>
        <w:t xml:space="preserve">hreat Reference: </w:t>
      </w:r>
      <w:r>
        <w:rPr>
          <w:lang w:eastAsia="zh-CN"/>
        </w:rPr>
        <w:t>TR 33.926 [4], clause J.2.2.3, "F</w:t>
      </w:r>
      <w:r>
        <w:rPr/>
        <w:t>ailure to assign unique</w:t>
      </w:r>
      <w:r>
        <w:rPr>
          <w:i/>
        </w:rPr>
        <w:t xml:space="preserve"> </w:t>
      </w:r>
      <w:r>
        <w:rPr/>
        <w:t>Charging ID for a session</w:t>
      </w:r>
      <w:r>
        <w:rPr>
          <w:lang w:eastAsia="zh-CN"/>
        </w:rPr>
        <w:t>"</w:t>
      </w:r>
    </w:p>
    <w:p>
      <w:pPr>
        <w:pStyle w:val="Normal"/>
        <w:rPr>
          <w:b/>
        </w:rPr>
      </w:pPr>
      <w:r>
        <w:rPr>
          <w:b/>
        </w:rPr>
        <w:t xml:space="preserve">TEST CASE: </w:t>
      </w:r>
    </w:p>
    <w:p>
      <w:pPr>
        <w:pStyle w:val="Normal"/>
        <w:rPr/>
      </w:pPr>
      <w:r>
        <w:rPr>
          <w:b/>
        </w:rPr>
        <w:t xml:space="preserve">Test Name: </w:t>
      </w:r>
      <w:r>
        <w:rPr/>
        <w:t>TC_CHARGING_ID_UNIQUENESS_SMF</w:t>
      </w:r>
    </w:p>
    <w:p>
      <w:pPr>
        <w:pStyle w:val="Normal"/>
        <w:rPr>
          <w:b/>
        </w:rPr>
      </w:pPr>
      <w:r>
        <w:rPr>
          <w:b/>
        </w:rPr>
        <w:t>Purpose:</w:t>
      </w:r>
    </w:p>
    <w:p>
      <w:pPr>
        <w:pStyle w:val="Normal"/>
        <w:rPr/>
      </w:pPr>
      <w:r>
        <w:rPr/>
        <w:t xml:space="preserve">Verify that the charging ID generated by the SMF for each PDU session is unique. </w:t>
      </w:r>
    </w:p>
    <w:p>
      <w:pPr>
        <w:pStyle w:val="Normal"/>
        <w:rPr>
          <w:b/>
        </w:rPr>
      </w:pPr>
      <w:r>
        <w:rPr>
          <w:b/>
        </w:rPr>
        <w:t>Pre-Conditions:</w:t>
      </w:r>
    </w:p>
    <w:p>
      <w:pPr>
        <w:pStyle w:val="Normal"/>
        <w:rPr>
          <w:lang w:eastAsia="zh-CN"/>
        </w:rPr>
      </w:pPr>
      <w:r>
        <w:rPr/>
        <w:t>Test environment is set up with a Charging Function (CHF)</w:t>
      </w:r>
      <w:r>
        <w:rPr>
          <w:lang w:eastAsia="zh-CN"/>
        </w:rPr>
        <w:t xml:space="preserve">, which may be real or simulated, and the SMF under test. </w:t>
      </w:r>
      <w:r>
        <w:rPr/>
        <w:t xml:space="preserve">The tester is able to capture the traffic between the SMF under test and the CHF.  </w:t>
      </w:r>
    </w:p>
    <w:p>
      <w:pPr>
        <w:pStyle w:val="Normal"/>
        <w:rPr/>
      </w:pPr>
      <w:r>
        <w:rPr>
          <w:b/>
        </w:rPr>
        <w:t>Execution Step</w:t>
      </w:r>
    </w:p>
    <w:p>
      <w:pPr>
        <w:pStyle w:val="B1"/>
        <w:rPr/>
      </w:pPr>
      <w:r>
        <w:rPr/>
        <w:t>1)</w:t>
        <w:tab/>
        <w:t xml:space="preserve">The tester intercepts the traffic between the SMF under test and the </w:t>
      </w:r>
      <w:r>
        <w:rPr>
          <w:lang w:eastAsia="zh-CN"/>
        </w:rPr>
        <w:t>CHF</w:t>
      </w:r>
      <w:r>
        <w:rPr/>
        <w:t>.</w:t>
      </w:r>
    </w:p>
    <w:p>
      <w:pPr>
        <w:pStyle w:val="B1"/>
        <w:rPr/>
      </w:pPr>
      <w:r>
        <w:rPr/>
        <w:t>2)</w:t>
        <w:tab/>
        <w:t xml:space="preserve">The tester triggers the establishment of the maximum number of concurrent PDU sessions that the SMF under test can handle.  </w:t>
      </w:r>
    </w:p>
    <w:p>
      <w:pPr>
        <w:pStyle w:val="B1"/>
        <w:rPr/>
      </w:pPr>
      <w:r>
        <w:rPr/>
        <w:t>3)</w:t>
        <w:tab/>
        <w:t>The tester captures each Charging Data Request</w:t>
      </w:r>
      <w:r>
        <w:rPr>
          <w:lang w:eastAsia="zh-CN"/>
        </w:rPr>
        <w:t xml:space="preserve"> [initial] sent from the SMF under test to the CHF, and verifies </w:t>
      </w:r>
      <w:r>
        <w:rPr/>
        <w:t xml:space="preserve">the charging ID contained in the </w:t>
      </w:r>
      <w:r>
        <w:rPr>
          <w:lang w:eastAsia="zh-CN"/>
        </w:rPr>
        <w:t>‘</w:t>
      </w:r>
      <w:r>
        <w:rPr/>
        <w:t>PDU Session Charging Information’ IE in each Charging Data Request</w:t>
      </w:r>
      <w:r>
        <w:rPr>
          <w:lang w:eastAsia="zh-CN"/>
        </w:rPr>
        <w:t xml:space="preserve"> [initial] is unique. </w:t>
      </w:r>
    </w:p>
    <w:p>
      <w:pPr>
        <w:pStyle w:val="Normal"/>
        <w:rPr>
          <w:b/>
        </w:rPr>
      </w:pPr>
      <w:r>
        <w:rPr>
          <w:b/>
        </w:rPr>
        <w:t>Expected Results:</w:t>
      </w:r>
    </w:p>
    <w:p>
      <w:pPr>
        <w:pStyle w:val="Normal"/>
        <w:rPr/>
      </w:pPr>
      <w:r>
        <w:rPr/>
        <w:t>The charging ID in each Charging Data Request</w:t>
      </w:r>
      <w:r>
        <w:rPr>
          <w:lang w:eastAsia="zh-CN"/>
        </w:rPr>
        <w:t xml:space="preserve"> [initial] </w:t>
      </w:r>
      <w:r>
        <w:rPr/>
        <w:t>is unique.</w:t>
      </w:r>
    </w:p>
    <w:p>
      <w:pPr>
        <w:pStyle w:val="Normal"/>
        <w:rPr>
          <w:b/>
        </w:rPr>
      </w:pPr>
      <w:r>
        <w:rPr>
          <w:b/>
        </w:rPr>
        <w:t>Expected format of evidence:</w:t>
      </w:r>
    </w:p>
    <w:p>
      <w:pPr>
        <w:pStyle w:val="Normal"/>
        <w:rPr>
          <w:lang w:eastAsia="zh-CN"/>
        </w:rPr>
      </w:pPr>
      <w:r>
        <w:rPr/>
        <w:t xml:space="preserve">Files containing the Charging Data Request </w:t>
      </w:r>
      <w:r>
        <w:rPr>
          <w:lang w:eastAsia="zh-CN"/>
        </w:rPr>
        <w:t xml:space="preserve">[initial] </w:t>
      </w:r>
      <w:r>
        <w:rPr/>
        <w:t>messages (e.g. pcap trace).</w:t>
      </w:r>
    </w:p>
    <w:p>
      <w:pPr>
        <w:pStyle w:val="Heading3"/>
        <w:ind w:hanging="1134" w:left="1134"/>
        <w:rPr/>
      </w:pPr>
      <w:bookmarkStart w:id="33" w:name="__RefHeading___Toc137651453"/>
      <w:bookmarkEnd w:id="33"/>
      <w:r>
        <w:rPr/>
        <w:t>4.2.3</w:t>
        <w:tab/>
        <w:t>Technical Baseline</w:t>
      </w:r>
    </w:p>
    <w:p>
      <w:pPr>
        <w:pStyle w:val="Heading4"/>
        <w:rPr/>
      </w:pPr>
      <w:bookmarkStart w:id="34" w:name="__RefHeading___Toc137651454"/>
      <w:bookmarkEnd w:id="34"/>
      <w:r>
        <w:rPr/>
        <w:t>4.2.3.1</w:t>
        <w:tab/>
        <w:t>Introduction</w:t>
      </w:r>
    </w:p>
    <w:p>
      <w:pPr>
        <w:pStyle w:val="Normal"/>
        <w:rPr/>
      </w:pPr>
      <w:r>
        <w:rPr/>
        <w:t>The present clause provides baseline technical requirements.</w:t>
      </w:r>
    </w:p>
    <w:p>
      <w:pPr>
        <w:pStyle w:val="Heading4"/>
        <w:keepNext w:val="false"/>
        <w:keepLines w:val="false"/>
        <w:rPr/>
      </w:pPr>
      <w:bookmarkStart w:id="35" w:name="__RefHeading___Toc137651455"/>
      <w:bookmarkEnd w:id="35"/>
      <w:r>
        <w:rPr/>
        <w:t>4.2.3.2</w:t>
        <w:tab/>
        <w:t>Protecting</w:t>
      </w:r>
      <w:r>
        <w:rPr>
          <w:spacing w:val="-12"/>
        </w:rPr>
        <w:t xml:space="preserve"> </w:t>
      </w:r>
      <w:r>
        <w:rPr/>
        <w:t>data</w:t>
      </w:r>
      <w:r>
        <w:rPr>
          <w:spacing w:val="-5"/>
        </w:rPr>
        <w:t xml:space="preserve"> </w:t>
      </w:r>
      <w:r>
        <w:rPr/>
        <w:t>and</w:t>
      </w:r>
      <w:r>
        <w:rPr>
          <w:spacing w:val="-4"/>
        </w:rPr>
        <w:t xml:space="preserve"> </w:t>
      </w:r>
      <w:r>
        <w:rPr/>
        <w:t>information</w:t>
      </w:r>
    </w:p>
    <w:p>
      <w:pPr>
        <w:pStyle w:val="Heading5"/>
        <w:rPr/>
      </w:pPr>
      <w:bookmarkStart w:id="36" w:name="__RefHeading___Toc137651456"/>
      <w:bookmarkEnd w:id="36"/>
      <w:r>
        <w:rPr/>
        <w:t>4.2.3.2.1</w:t>
        <w:tab/>
        <w:t>Protecting</w:t>
      </w:r>
      <w:r>
        <w:rPr>
          <w:spacing w:val="-12"/>
        </w:rPr>
        <w:t xml:space="preserve"> </w:t>
      </w:r>
      <w:r>
        <w:rPr/>
        <w:t>data</w:t>
      </w:r>
      <w:r>
        <w:rPr>
          <w:spacing w:val="-5"/>
        </w:rPr>
        <w:t xml:space="preserve"> </w:t>
      </w:r>
      <w:r>
        <w:rPr/>
        <w:t>and</w:t>
      </w:r>
      <w:r>
        <w:rPr>
          <w:spacing w:val="-4"/>
        </w:rPr>
        <w:t xml:space="preserve"> </w:t>
      </w:r>
      <w:r>
        <w:rPr/>
        <w:t>information – general</w:t>
      </w:r>
    </w:p>
    <w:p>
      <w:pPr>
        <w:pStyle w:val="Normal"/>
        <w:rPr/>
      </w:pPr>
      <w:r>
        <w:rPr>
          <w:color w:val="000000"/>
        </w:rPr>
        <w:t xml:space="preserve">There are no SMF-specific additions to clause </w:t>
      </w:r>
      <w:r>
        <w:rPr>
          <w:color w:val="000000"/>
        </w:rPr>
        <w:t>4</w:t>
      </w:r>
      <w:r>
        <w:rPr>
          <w:color w:val="000000"/>
        </w:rPr>
        <w:t>.</w:t>
      </w:r>
      <w:r>
        <w:rPr>
          <w:color w:val="000000"/>
          <w:lang w:eastAsia="zh-CN"/>
        </w:rPr>
        <w:t>2</w:t>
      </w:r>
      <w:r>
        <w:rPr>
          <w:color w:val="000000"/>
        </w:rPr>
        <w:t>.3</w:t>
      </w:r>
      <w:r>
        <w:rPr>
          <w:color w:val="000000"/>
          <w:lang w:eastAsia="zh-CN"/>
        </w:rPr>
        <w:t>.2</w:t>
      </w:r>
      <w:r>
        <w:rPr>
          <w:color w:val="000000"/>
        </w:rPr>
        <w:t>.</w:t>
      </w:r>
      <w:r>
        <w:rPr>
          <w:color w:val="000000"/>
          <w:lang w:eastAsia="zh-CN"/>
        </w:rPr>
        <w:t>1</w:t>
      </w:r>
      <w:r>
        <w:rPr>
          <w:color w:val="000000"/>
        </w:rPr>
        <w:t xml:space="preserve"> of TS 33.117 [2].</w:t>
      </w:r>
    </w:p>
    <w:p>
      <w:pPr>
        <w:pStyle w:val="Heading5"/>
        <w:rPr/>
      </w:pPr>
      <w:bookmarkStart w:id="37" w:name="__RefHeading___Toc137651457"/>
      <w:bookmarkEnd w:id="37"/>
      <w:r>
        <w:rPr/>
        <w:t>4.2.3.2.2</w:t>
        <w:tab/>
        <w:t>Protecting</w:t>
      </w:r>
      <w:r>
        <w:rPr>
          <w:spacing w:val="-12"/>
        </w:rPr>
        <w:t xml:space="preserve"> </w:t>
      </w:r>
      <w:r>
        <w:rPr/>
        <w:t>data</w:t>
      </w:r>
      <w:r>
        <w:rPr>
          <w:spacing w:val="-5"/>
        </w:rPr>
        <w:t xml:space="preserve"> </w:t>
      </w:r>
      <w:r>
        <w:rPr/>
        <w:t>and</w:t>
      </w:r>
      <w:r>
        <w:rPr>
          <w:spacing w:val="-4"/>
        </w:rPr>
        <w:t xml:space="preserve"> </w:t>
      </w:r>
      <w:r>
        <w:rPr/>
        <w:t>information – unauthorized viewing</w:t>
      </w:r>
    </w:p>
    <w:p>
      <w:pPr>
        <w:pStyle w:val="Normal"/>
        <w:rPr/>
      </w:pPr>
      <w:r>
        <w:rPr/>
        <w:t xml:space="preserve">There are no SMF-specific additions to clause </w:t>
      </w:r>
      <w:r>
        <w:rPr/>
        <w:t>4</w:t>
      </w:r>
      <w:r>
        <w:rPr/>
        <w:t>.</w:t>
      </w:r>
      <w:r>
        <w:rPr/>
        <w:t>2</w:t>
      </w:r>
      <w:r>
        <w:rPr/>
        <w:t>.3</w:t>
      </w:r>
      <w:r>
        <w:rPr/>
        <w:t>.2</w:t>
      </w:r>
      <w:r>
        <w:rPr/>
        <w:t>.2 of TS 33.117 [2].</w:t>
      </w:r>
    </w:p>
    <w:p>
      <w:pPr>
        <w:pStyle w:val="Heading5"/>
        <w:rPr/>
      </w:pPr>
      <w:bookmarkStart w:id="38" w:name="__RefHeading___Toc137651458"/>
      <w:bookmarkEnd w:id="38"/>
      <w:r>
        <w:rPr/>
        <w:t>4.2.3.2.3</w:t>
        <w:tab/>
        <w:t>Protecting</w:t>
      </w:r>
      <w:r>
        <w:rPr>
          <w:spacing w:val="-12"/>
        </w:rPr>
        <w:t xml:space="preserve"> </w:t>
      </w:r>
      <w:r>
        <w:rPr/>
        <w:t>data</w:t>
      </w:r>
      <w:r>
        <w:rPr>
          <w:spacing w:val="-5"/>
        </w:rPr>
        <w:t xml:space="preserve"> </w:t>
      </w:r>
      <w:r>
        <w:rPr/>
        <w:t>and</w:t>
      </w:r>
      <w:r>
        <w:rPr>
          <w:spacing w:val="-4"/>
        </w:rPr>
        <w:t xml:space="preserve"> </w:t>
      </w:r>
      <w:r>
        <w:rPr/>
        <w:t>information in storage</w:t>
      </w:r>
    </w:p>
    <w:p>
      <w:pPr>
        <w:pStyle w:val="Normal"/>
        <w:rPr/>
      </w:pPr>
      <w:r>
        <w:rPr/>
        <w:t xml:space="preserve">There are no SMF-specific additions to clause </w:t>
      </w:r>
      <w:r>
        <w:rPr/>
        <w:t>4</w:t>
      </w:r>
      <w:r>
        <w:rPr/>
        <w:t>.</w:t>
      </w:r>
      <w:r>
        <w:rPr/>
        <w:t>2</w:t>
      </w:r>
      <w:r>
        <w:rPr/>
        <w:t>.3</w:t>
      </w:r>
      <w:r>
        <w:rPr/>
        <w:t>.2</w:t>
      </w:r>
      <w:r>
        <w:rPr/>
        <w:t>.3 of TS 33.117 [2].</w:t>
      </w:r>
    </w:p>
    <w:p>
      <w:pPr>
        <w:pStyle w:val="Heading5"/>
        <w:rPr/>
      </w:pPr>
      <w:bookmarkStart w:id="39" w:name="__RefHeading___Toc137651459"/>
      <w:bookmarkEnd w:id="39"/>
      <w:r>
        <w:rPr/>
        <w:t>4.2.3.2.4</w:t>
        <w:tab/>
        <w:t>Protecting</w:t>
      </w:r>
      <w:r>
        <w:rPr>
          <w:spacing w:val="-12"/>
        </w:rPr>
        <w:t xml:space="preserve"> </w:t>
      </w:r>
      <w:r>
        <w:rPr/>
        <w:t>data</w:t>
      </w:r>
      <w:r>
        <w:rPr>
          <w:spacing w:val="-5"/>
        </w:rPr>
        <w:t xml:space="preserve"> </w:t>
      </w:r>
      <w:r>
        <w:rPr/>
        <w:t>and</w:t>
      </w:r>
      <w:r>
        <w:rPr>
          <w:spacing w:val="-4"/>
        </w:rPr>
        <w:t xml:space="preserve"> </w:t>
      </w:r>
      <w:r>
        <w:rPr/>
        <w:t>information in transfer</w:t>
      </w:r>
    </w:p>
    <w:p>
      <w:pPr>
        <w:pStyle w:val="B1"/>
        <w:ind w:hanging="0" w:left="0" w:right="0"/>
        <w:rPr/>
      </w:pPr>
      <w:r>
        <w:rPr>
          <w:color w:val="000000"/>
        </w:rPr>
        <w:t xml:space="preserve">There are no SMF-specific additions to clause </w:t>
      </w:r>
      <w:r>
        <w:rPr>
          <w:color w:val="000000"/>
        </w:rPr>
        <w:t>4</w:t>
      </w:r>
      <w:r>
        <w:rPr>
          <w:color w:val="000000"/>
        </w:rPr>
        <w:t>.</w:t>
      </w:r>
      <w:r>
        <w:rPr>
          <w:color w:val="000000"/>
          <w:lang w:eastAsia="zh-CN"/>
        </w:rPr>
        <w:t>2</w:t>
      </w:r>
      <w:r>
        <w:rPr>
          <w:color w:val="000000"/>
        </w:rPr>
        <w:t>.3</w:t>
      </w:r>
      <w:r>
        <w:rPr>
          <w:color w:val="000000"/>
          <w:lang w:eastAsia="zh-CN"/>
        </w:rPr>
        <w:t>.2</w:t>
      </w:r>
      <w:r>
        <w:rPr>
          <w:color w:val="000000"/>
        </w:rPr>
        <w:t>.</w:t>
      </w:r>
      <w:r>
        <w:rPr>
          <w:color w:val="000000"/>
          <w:lang w:eastAsia="zh-CN"/>
        </w:rPr>
        <w:t>4</w:t>
      </w:r>
      <w:r>
        <w:rPr>
          <w:color w:val="000000"/>
        </w:rPr>
        <w:t xml:space="preserve"> of TS 33.117 [2].</w:t>
      </w:r>
    </w:p>
    <w:p>
      <w:pPr>
        <w:pStyle w:val="Heading5"/>
        <w:rPr>
          <w:lang w:eastAsia="zh-CN"/>
        </w:rPr>
      </w:pPr>
      <w:bookmarkStart w:id="40" w:name="__RefHeading___Toc137651460"/>
      <w:bookmarkEnd w:id="40"/>
      <w:r>
        <w:rPr/>
        <w:t>4.2.3.2.5</w:t>
        <w:tab/>
        <w:t>Logging access to personal data</w:t>
      </w:r>
    </w:p>
    <w:p>
      <w:pPr>
        <w:pStyle w:val="Normal"/>
        <w:rPr>
          <w:lang w:eastAsia="zh-CN"/>
        </w:rPr>
      </w:pPr>
      <w:r>
        <w:rPr>
          <w:color w:val="000000"/>
        </w:rPr>
        <w:t xml:space="preserve">There are no SMF-specific additions to clause </w:t>
      </w:r>
      <w:r>
        <w:rPr>
          <w:color w:val="000000"/>
        </w:rPr>
        <w:t>4</w:t>
      </w:r>
      <w:r>
        <w:rPr>
          <w:color w:val="000000"/>
        </w:rPr>
        <w:t>.</w:t>
      </w:r>
      <w:r>
        <w:rPr>
          <w:color w:val="000000"/>
          <w:lang w:eastAsia="zh-CN"/>
        </w:rPr>
        <w:t>2</w:t>
      </w:r>
      <w:r>
        <w:rPr>
          <w:color w:val="000000"/>
        </w:rPr>
        <w:t>.3</w:t>
      </w:r>
      <w:r>
        <w:rPr>
          <w:color w:val="000000"/>
          <w:lang w:eastAsia="zh-CN"/>
        </w:rPr>
        <w:t>.2</w:t>
      </w:r>
      <w:r>
        <w:rPr>
          <w:color w:val="000000"/>
        </w:rPr>
        <w:t>.</w:t>
      </w:r>
      <w:r>
        <w:rPr>
          <w:color w:val="000000"/>
          <w:lang w:eastAsia="zh-CN"/>
        </w:rPr>
        <w:t>5</w:t>
      </w:r>
      <w:r>
        <w:rPr>
          <w:color w:val="000000"/>
        </w:rPr>
        <w:t xml:space="preserve"> of TS 33.117 [2].</w:t>
      </w:r>
    </w:p>
    <w:p>
      <w:pPr>
        <w:pStyle w:val="Heading4"/>
        <w:keepNext w:val="false"/>
        <w:keepLines w:val="false"/>
        <w:suppressLineNumbers/>
        <w:suppressAutoHyphens w:val="true"/>
        <w:rPr/>
      </w:pPr>
      <w:bookmarkStart w:id="41" w:name="__RefHeading___Toc137651461"/>
      <w:bookmarkEnd w:id="41"/>
      <w:r>
        <w:rPr/>
        <w:t>4.2.3.3</w:t>
        <w:tab/>
        <w:t>Protecting</w:t>
      </w:r>
      <w:r>
        <w:rPr>
          <w:spacing w:val="-12"/>
        </w:rPr>
        <w:t xml:space="preserve"> </w:t>
      </w:r>
      <w:r>
        <w:rPr/>
        <w:t>availability</w:t>
      </w:r>
      <w:r>
        <w:rPr>
          <w:spacing w:val="-12"/>
        </w:rPr>
        <w:t xml:space="preserve"> </w:t>
      </w:r>
      <w:r>
        <w:rPr/>
        <w:t>and</w:t>
      </w:r>
      <w:r>
        <w:rPr>
          <w:spacing w:val="-4"/>
        </w:rPr>
        <w:t xml:space="preserve"> </w:t>
      </w:r>
      <w:r>
        <w:rPr/>
        <w:t>integrity</w:t>
      </w:r>
    </w:p>
    <w:p>
      <w:pPr>
        <w:pStyle w:val="Normal"/>
        <w:rPr>
          <w:lang w:eastAsia="zh-CN"/>
        </w:rPr>
      </w:pPr>
      <w:r>
        <w:rPr>
          <w:color w:val="000000"/>
        </w:rPr>
        <w:t xml:space="preserve">There are no SMF-specific additions to clause </w:t>
      </w:r>
      <w:r>
        <w:rPr>
          <w:color w:val="000000"/>
        </w:rPr>
        <w:t>4</w:t>
      </w:r>
      <w:r>
        <w:rPr>
          <w:color w:val="000000"/>
        </w:rPr>
        <w:t>.</w:t>
      </w:r>
      <w:r>
        <w:rPr>
          <w:color w:val="000000"/>
          <w:lang w:eastAsia="zh-CN"/>
        </w:rPr>
        <w:t>2</w:t>
      </w:r>
      <w:r>
        <w:rPr>
          <w:color w:val="000000"/>
        </w:rPr>
        <w:t>.3</w:t>
      </w:r>
      <w:r>
        <w:rPr>
          <w:color w:val="000000"/>
          <w:lang w:eastAsia="zh-CN"/>
        </w:rPr>
        <w:t>.</w:t>
      </w:r>
      <w:r>
        <w:rPr>
          <w:color w:val="000000"/>
          <w:lang w:eastAsia="zh-CN"/>
        </w:rPr>
        <w:t>3</w:t>
      </w:r>
      <w:r>
        <w:rPr>
          <w:color w:val="000000"/>
        </w:rPr>
        <w:t xml:space="preserve"> of TS 33.117 [2].</w:t>
      </w:r>
    </w:p>
    <w:p>
      <w:pPr>
        <w:pStyle w:val="Heading4"/>
        <w:keepNext w:val="false"/>
        <w:keepLines w:val="false"/>
        <w:suppressLineNumbers/>
        <w:suppressAutoHyphens w:val="true"/>
        <w:rPr/>
      </w:pPr>
      <w:bookmarkStart w:id="42" w:name="__RefHeading___Toc137651462"/>
      <w:bookmarkEnd w:id="42"/>
      <w:r>
        <w:rPr/>
        <w:t>4.2.3.4</w:t>
        <w:tab/>
        <w:t>Authentication</w:t>
      </w:r>
      <w:r>
        <w:rPr>
          <w:spacing w:val="-17"/>
        </w:rPr>
        <w:t xml:space="preserve"> </w:t>
      </w:r>
      <w:r>
        <w:rPr/>
        <w:t>and</w:t>
      </w:r>
      <w:r>
        <w:rPr>
          <w:spacing w:val="-4"/>
        </w:rPr>
        <w:t xml:space="preserve"> </w:t>
      </w:r>
      <w:r>
        <w:rPr/>
        <w:t>authorization</w:t>
      </w:r>
    </w:p>
    <w:p>
      <w:pPr>
        <w:pStyle w:val="Normal"/>
        <w:rPr>
          <w:lang w:eastAsia="zh-CN"/>
        </w:rPr>
      </w:pPr>
      <w:r>
        <w:rPr>
          <w:color w:val="000000"/>
        </w:rPr>
        <w:t xml:space="preserve">There are no SMF-specific additions to clause </w:t>
      </w:r>
      <w:r>
        <w:rPr>
          <w:color w:val="000000"/>
        </w:rPr>
        <w:t>4</w:t>
      </w:r>
      <w:r>
        <w:rPr>
          <w:color w:val="000000"/>
        </w:rPr>
        <w:t>.</w:t>
      </w:r>
      <w:r>
        <w:rPr>
          <w:color w:val="000000"/>
          <w:lang w:eastAsia="zh-CN"/>
        </w:rPr>
        <w:t>2</w:t>
      </w:r>
      <w:r>
        <w:rPr>
          <w:color w:val="000000"/>
        </w:rPr>
        <w:t>.3</w:t>
      </w:r>
      <w:r>
        <w:rPr>
          <w:color w:val="000000"/>
          <w:lang w:eastAsia="zh-CN"/>
        </w:rPr>
        <w:t>.</w:t>
      </w:r>
      <w:r>
        <w:rPr>
          <w:color w:val="000000"/>
          <w:lang w:eastAsia="zh-CN"/>
        </w:rPr>
        <w:t>4</w:t>
      </w:r>
      <w:r>
        <w:rPr>
          <w:color w:val="000000"/>
        </w:rPr>
        <w:t xml:space="preserve"> of TS 33.117 [2].</w:t>
      </w:r>
    </w:p>
    <w:p>
      <w:pPr>
        <w:pStyle w:val="Heading4"/>
        <w:keepNext w:val="false"/>
        <w:keepLines w:val="false"/>
        <w:suppressLineNumbers/>
        <w:suppressAutoHyphens w:val="true"/>
        <w:rPr/>
      </w:pPr>
      <w:bookmarkStart w:id="43" w:name="__RefHeading___Toc137651463"/>
      <w:bookmarkEnd w:id="43"/>
      <w:r>
        <w:rPr/>
        <w:t>4.2.3.5</w:t>
        <w:tab/>
        <w:t>Protecting</w:t>
      </w:r>
      <w:r>
        <w:rPr>
          <w:spacing w:val="-12"/>
        </w:rPr>
        <w:t xml:space="preserve"> </w:t>
      </w:r>
      <w:r>
        <w:rPr/>
        <w:t>sessions</w:t>
      </w:r>
    </w:p>
    <w:p>
      <w:pPr>
        <w:pStyle w:val="Normal"/>
        <w:rPr>
          <w:lang w:eastAsia="zh-CN"/>
        </w:rPr>
      </w:pPr>
      <w:r>
        <w:rPr>
          <w:color w:val="000000"/>
        </w:rPr>
        <w:t xml:space="preserve">There are no SMF-specific additions to clause </w:t>
      </w:r>
      <w:r>
        <w:rPr>
          <w:color w:val="000000"/>
        </w:rPr>
        <w:t>4</w:t>
      </w:r>
      <w:r>
        <w:rPr>
          <w:color w:val="000000"/>
        </w:rPr>
        <w:t>.</w:t>
      </w:r>
      <w:r>
        <w:rPr>
          <w:color w:val="000000"/>
          <w:lang w:eastAsia="zh-CN"/>
        </w:rPr>
        <w:t>2</w:t>
      </w:r>
      <w:r>
        <w:rPr>
          <w:color w:val="000000"/>
        </w:rPr>
        <w:t>.3</w:t>
      </w:r>
      <w:r>
        <w:rPr>
          <w:color w:val="000000"/>
          <w:lang w:eastAsia="zh-CN"/>
        </w:rPr>
        <w:t>.</w:t>
      </w:r>
      <w:r>
        <w:rPr>
          <w:color w:val="000000"/>
          <w:lang w:eastAsia="zh-CN"/>
        </w:rPr>
        <w:t>5</w:t>
      </w:r>
      <w:r>
        <w:rPr>
          <w:color w:val="000000"/>
        </w:rPr>
        <w:t xml:space="preserve"> of TS 33.117 [2].</w:t>
      </w:r>
    </w:p>
    <w:p>
      <w:pPr>
        <w:pStyle w:val="Heading4"/>
        <w:keepNext w:val="false"/>
        <w:keepLines w:val="false"/>
        <w:suppressLineNumbers/>
        <w:suppressAutoHyphens w:val="true"/>
        <w:rPr/>
      </w:pPr>
      <w:bookmarkStart w:id="44" w:name="__RefHeading___Toc137651464"/>
      <w:bookmarkEnd w:id="44"/>
      <w:r>
        <w:rPr/>
        <w:t>4.2.3.6</w:t>
        <w:tab/>
        <w:t>Logging</w:t>
      </w:r>
    </w:p>
    <w:p>
      <w:pPr>
        <w:pStyle w:val="Normal"/>
        <w:rPr/>
      </w:pPr>
      <w:r>
        <w:rPr>
          <w:color w:val="000000"/>
        </w:rPr>
        <w:t xml:space="preserve">There are no SMF-specific additions to clause </w:t>
      </w:r>
      <w:r>
        <w:rPr>
          <w:color w:val="000000"/>
        </w:rPr>
        <w:t>4</w:t>
      </w:r>
      <w:r>
        <w:rPr>
          <w:color w:val="000000"/>
        </w:rPr>
        <w:t>.</w:t>
      </w:r>
      <w:r>
        <w:rPr>
          <w:color w:val="000000"/>
          <w:lang w:eastAsia="zh-CN"/>
        </w:rPr>
        <w:t>2</w:t>
      </w:r>
      <w:r>
        <w:rPr>
          <w:color w:val="000000"/>
        </w:rPr>
        <w:t>.3</w:t>
      </w:r>
      <w:r>
        <w:rPr>
          <w:color w:val="000000"/>
          <w:lang w:eastAsia="zh-CN"/>
        </w:rPr>
        <w:t>.</w:t>
      </w:r>
      <w:r>
        <w:rPr>
          <w:color w:val="000000"/>
          <w:lang w:eastAsia="zh-CN"/>
        </w:rPr>
        <w:t>6</w:t>
      </w:r>
      <w:r>
        <w:rPr>
          <w:color w:val="000000"/>
        </w:rPr>
        <w:t xml:space="preserve"> of TS 33.117 [2].</w:t>
      </w:r>
      <w:r>
        <w:rPr>
          <w:lang w:eastAsia="zh-CN"/>
        </w:rPr>
        <w:t xml:space="preserve"> </w:t>
      </w:r>
    </w:p>
    <w:p>
      <w:pPr>
        <w:pStyle w:val="Heading3"/>
        <w:keepNext w:val="false"/>
        <w:keepLines w:val="false"/>
        <w:suppressLineNumbers/>
        <w:suppressAutoHyphens w:val="true"/>
        <w:ind w:hanging="1134" w:left="1134"/>
        <w:rPr/>
      </w:pPr>
      <w:bookmarkStart w:id="45" w:name="__RefHeading___Toc137651465"/>
      <w:bookmarkEnd w:id="45"/>
      <w:r>
        <w:rPr/>
        <w:t>4.2.4</w:t>
        <w:tab/>
        <w:t>Operating Systems</w:t>
      </w:r>
    </w:p>
    <w:p>
      <w:pPr>
        <w:pStyle w:val="Normal"/>
        <w:rPr/>
      </w:pPr>
      <w:r>
        <w:rPr>
          <w:color w:val="000000"/>
        </w:rPr>
        <w:t xml:space="preserve">There are no SMF-specific additions to clause </w:t>
      </w:r>
      <w:r>
        <w:rPr>
          <w:color w:val="000000"/>
        </w:rPr>
        <w:t>4</w:t>
      </w:r>
      <w:r>
        <w:rPr>
          <w:color w:val="000000"/>
        </w:rPr>
        <w:t>.</w:t>
      </w:r>
      <w:r>
        <w:rPr>
          <w:color w:val="000000"/>
          <w:lang w:eastAsia="zh-CN"/>
        </w:rPr>
        <w:t>2</w:t>
      </w:r>
      <w:r>
        <w:rPr>
          <w:color w:val="000000"/>
        </w:rPr>
        <w:t>.4 of TS 33.117 [2].</w:t>
      </w:r>
      <w:r>
        <w:rPr>
          <w:lang w:eastAsia="zh-CN"/>
        </w:rPr>
        <w:t xml:space="preserve"> </w:t>
      </w:r>
    </w:p>
    <w:p>
      <w:pPr>
        <w:pStyle w:val="Heading3"/>
        <w:keepNext w:val="false"/>
        <w:keepLines w:val="false"/>
        <w:suppressLineNumbers/>
        <w:suppressAutoHyphens w:val="true"/>
        <w:ind w:hanging="1134" w:left="1134"/>
        <w:rPr>
          <w:lang w:eastAsia="zh-CN"/>
        </w:rPr>
      </w:pPr>
      <w:bookmarkStart w:id="46" w:name="__RefHeading___Toc137651466"/>
      <w:bookmarkEnd w:id="46"/>
      <w:r>
        <w:rPr/>
        <w:t>4.2.5</w:t>
        <w:tab/>
        <w:t>Web Servers</w:t>
      </w:r>
    </w:p>
    <w:p>
      <w:pPr>
        <w:pStyle w:val="Normal"/>
        <w:rPr>
          <w:lang w:eastAsia="zh-CN"/>
        </w:rPr>
      </w:pPr>
      <w:r>
        <w:rPr>
          <w:color w:val="000000"/>
        </w:rPr>
        <w:t xml:space="preserve">There are no SMF-specific additions to clause </w:t>
      </w:r>
      <w:r>
        <w:rPr>
          <w:color w:val="000000"/>
        </w:rPr>
        <w:t>4</w:t>
      </w:r>
      <w:r>
        <w:rPr>
          <w:color w:val="000000"/>
        </w:rPr>
        <w:t>.</w:t>
      </w:r>
      <w:r>
        <w:rPr>
          <w:color w:val="000000"/>
          <w:lang w:eastAsia="zh-CN"/>
        </w:rPr>
        <w:t>2</w:t>
      </w:r>
      <w:r>
        <w:rPr>
          <w:color w:val="000000"/>
        </w:rPr>
        <w:t>.5 of TS 33.117 [2]</w:t>
      </w:r>
    </w:p>
    <w:p>
      <w:pPr>
        <w:pStyle w:val="Heading3"/>
        <w:keepNext w:val="false"/>
        <w:keepLines w:val="false"/>
        <w:suppressLineNumbers/>
        <w:suppressAutoHyphens w:val="true"/>
        <w:ind w:hanging="1134" w:left="1134"/>
        <w:rPr>
          <w:color w:val="000000"/>
        </w:rPr>
      </w:pPr>
      <w:bookmarkStart w:id="47" w:name="__RefHeading___Toc137651467"/>
      <w:bookmarkEnd w:id="47"/>
      <w:r>
        <w:rPr/>
        <w:t>4.2.6</w:t>
        <w:tab/>
        <w:t>Network Devices</w:t>
      </w:r>
    </w:p>
    <w:p>
      <w:pPr>
        <w:pStyle w:val="Normal"/>
        <w:rPr>
          <w:lang w:eastAsia="zh-CN"/>
        </w:rPr>
      </w:pPr>
      <w:r>
        <w:rPr>
          <w:color w:val="000000"/>
        </w:rPr>
        <w:t xml:space="preserve">There are no SMF-specific additions to clause </w:t>
      </w:r>
      <w:r>
        <w:rPr>
          <w:color w:val="000000"/>
        </w:rPr>
        <w:t>4</w:t>
      </w:r>
      <w:r>
        <w:rPr>
          <w:color w:val="000000"/>
        </w:rPr>
        <w:t>.</w:t>
      </w:r>
      <w:r>
        <w:rPr>
          <w:color w:val="000000"/>
          <w:lang w:eastAsia="zh-CN"/>
        </w:rPr>
        <w:t>2</w:t>
      </w:r>
      <w:r>
        <w:rPr>
          <w:color w:val="000000"/>
        </w:rPr>
        <w:t>.6 of TS 33.117 [2].</w:t>
      </w:r>
    </w:p>
    <w:p>
      <w:pPr>
        <w:pStyle w:val="Heading3"/>
        <w:keepNext w:val="false"/>
        <w:keepLines w:val="false"/>
        <w:suppressLineNumbers/>
        <w:suppressAutoHyphens w:val="true"/>
        <w:ind w:hanging="1134" w:left="1134"/>
        <w:rPr>
          <w:lang w:eastAsia="zh-CN"/>
        </w:rPr>
      </w:pPr>
      <w:bookmarkStart w:id="48" w:name="__RefHeading___Toc137651468"/>
      <w:bookmarkEnd w:id="48"/>
      <w:r>
        <w:rPr/>
        <w:t>4.2.</w:t>
      </w:r>
      <w:r>
        <w:rPr>
          <w:lang w:eastAsia="zh-CN"/>
        </w:rPr>
        <w:t>7</w:t>
      </w:r>
      <w:r>
        <w:rPr/>
        <w:tab/>
      </w:r>
      <w:r>
        <w:rPr>
          <w:lang w:eastAsia="zh-CN"/>
        </w:rPr>
        <w:t>Void</w:t>
      </w:r>
    </w:p>
    <w:p>
      <w:pPr>
        <w:pStyle w:val="Normal"/>
        <w:rPr>
          <w:lang w:eastAsia="zh-CN"/>
        </w:rPr>
      </w:pPr>
      <w:r>
        <w:rPr>
          <w:lang w:eastAsia="zh-CN"/>
        </w:rPr>
      </w:r>
    </w:p>
    <w:p>
      <w:pPr>
        <w:pStyle w:val="Heading2"/>
        <w:keepNext w:val="false"/>
        <w:keepLines w:val="false"/>
        <w:suppressLineNumbers/>
        <w:suppressAutoHyphens w:val="true"/>
        <w:ind w:hanging="1134" w:left="1134"/>
        <w:rPr/>
      </w:pPr>
      <w:bookmarkStart w:id="49" w:name="__RefHeading___Toc137651469"/>
      <w:bookmarkEnd w:id="49"/>
      <w:r>
        <w:rPr/>
        <w:t>4.3</w:t>
        <w:tab/>
      </w:r>
      <w:r>
        <w:rPr>
          <w:lang w:eastAsia="zh-CN"/>
        </w:rPr>
        <w:t>SMF</w:t>
      </w:r>
      <w:r>
        <w:rPr/>
        <w:t>-specific adaptations of hardening requirements and related test cases</w:t>
      </w:r>
    </w:p>
    <w:p>
      <w:pPr>
        <w:pStyle w:val="Heading3"/>
        <w:ind w:hanging="1134" w:left="1134"/>
        <w:rPr/>
      </w:pPr>
      <w:bookmarkStart w:id="50" w:name="__RefHeading___Toc137651470"/>
      <w:bookmarkEnd w:id="50"/>
      <w:r>
        <w:rPr/>
        <w:t>4.3.1</w:t>
        <w:tab/>
        <w:t>Introduction</w:t>
      </w:r>
    </w:p>
    <w:p>
      <w:pPr>
        <w:pStyle w:val="Normal"/>
        <w:rPr/>
      </w:pPr>
      <w:r>
        <w:rPr>
          <w:lang w:eastAsia="zh-CN"/>
        </w:rPr>
        <w:t>The present clause contains SMF</w:t>
      </w:r>
      <w:r>
        <w:rPr/>
        <w:t xml:space="preserve">-specific </w:t>
      </w:r>
      <w:r>
        <w:rPr>
          <w:lang w:eastAsia="zh-CN"/>
        </w:rPr>
        <w:t xml:space="preserve">adaptations of </w:t>
      </w:r>
      <w:r>
        <w:rPr>
          <w:lang w:eastAsia="zh-CN"/>
        </w:rPr>
        <w:t xml:space="preserve">hardening </w:t>
      </w:r>
      <w:r>
        <w:rPr/>
        <w:t>requirements</w:t>
      </w:r>
      <w:r>
        <w:rPr>
          <w:lang w:eastAsia="zh-CN"/>
        </w:rPr>
        <w:t xml:space="preserve"> and related test cases</w:t>
      </w:r>
      <w:r>
        <w:rPr>
          <w:lang w:eastAsia="zh-CN"/>
        </w:rPr>
        <w:t>.</w:t>
      </w:r>
    </w:p>
    <w:p>
      <w:pPr>
        <w:pStyle w:val="Heading3"/>
        <w:ind w:hanging="1134" w:left="1134"/>
        <w:rPr/>
      </w:pPr>
      <w:bookmarkStart w:id="51" w:name="__RefHeading___Toc137651471"/>
      <w:bookmarkEnd w:id="51"/>
      <w:r>
        <w:rPr/>
        <w:t>4.3.2</w:t>
        <w:tab/>
        <w:t>Technical baseline</w:t>
      </w:r>
    </w:p>
    <w:p>
      <w:pPr>
        <w:pStyle w:val="Normal"/>
        <w:rPr/>
      </w:pPr>
      <w:r>
        <w:rPr>
          <w:color w:val="000000"/>
        </w:rPr>
        <w:t xml:space="preserve">There are no SMF-specific additions to clause </w:t>
      </w:r>
      <w:r>
        <w:rPr>
          <w:color w:val="000000"/>
        </w:rPr>
        <w:t>4</w:t>
      </w:r>
      <w:r>
        <w:rPr>
          <w:color w:val="000000"/>
        </w:rPr>
        <w:t>.</w:t>
      </w:r>
      <w:r>
        <w:rPr>
          <w:color w:val="000000"/>
          <w:lang w:eastAsia="zh-CN"/>
        </w:rPr>
        <w:t>3.2</w:t>
      </w:r>
      <w:r>
        <w:rPr>
          <w:color w:val="000000"/>
        </w:rPr>
        <w:t xml:space="preserve"> of TS 33.117 [2].</w:t>
      </w:r>
    </w:p>
    <w:p>
      <w:pPr>
        <w:pStyle w:val="Heading3"/>
        <w:ind w:hanging="1134" w:left="1134"/>
        <w:rPr/>
      </w:pPr>
      <w:bookmarkStart w:id="52" w:name="__RefHeading___Toc137651472"/>
      <w:bookmarkEnd w:id="52"/>
      <w:r>
        <w:rPr/>
        <w:t>4.3.3</w:t>
        <w:tab/>
        <w:t>Operating systems</w:t>
      </w:r>
    </w:p>
    <w:p>
      <w:pPr>
        <w:pStyle w:val="Normal"/>
        <w:rPr/>
      </w:pPr>
      <w:r>
        <w:rPr>
          <w:color w:val="000000"/>
        </w:rPr>
        <w:t xml:space="preserve">There are no SMF-specific additions to clause </w:t>
      </w:r>
      <w:r>
        <w:rPr>
          <w:color w:val="000000"/>
        </w:rPr>
        <w:t>4</w:t>
      </w:r>
      <w:r>
        <w:rPr>
          <w:color w:val="000000"/>
        </w:rPr>
        <w:t>.</w:t>
      </w:r>
      <w:r>
        <w:rPr>
          <w:color w:val="000000"/>
          <w:lang w:eastAsia="zh-CN"/>
        </w:rPr>
        <w:t>3.3</w:t>
      </w:r>
      <w:r>
        <w:rPr>
          <w:color w:val="000000"/>
        </w:rPr>
        <w:t xml:space="preserve"> of TS 33.117 [2].</w:t>
      </w:r>
    </w:p>
    <w:p>
      <w:pPr>
        <w:pStyle w:val="Heading3"/>
        <w:ind w:hanging="1134" w:left="1134"/>
        <w:rPr/>
      </w:pPr>
      <w:bookmarkStart w:id="53" w:name="__RefHeading___Toc137651473"/>
      <w:bookmarkEnd w:id="53"/>
      <w:r>
        <w:rPr/>
        <w:t>4.3.4</w:t>
        <w:tab/>
        <w:t>Web servers</w:t>
      </w:r>
    </w:p>
    <w:p>
      <w:pPr>
        <w:pStyle w:val="Normal"/>
        <w:rPr/>
      </w:pPr>
      <w:r>
        <w:rPr>
          <w:color w:val="000000"/>
        </w:rPr>
        <w:t xml:space="preserve">There are no SMF-specific additions to clause </w:t>
      </w:r>
      <w:r>
        <w:rPr>
          <w:color w:val="000000"/>
        </w:rPr>
        <w:t>4</w:t>
      </w:r>
      <w:r>
        <w:rPr>
          <w:color w:val="000000"/>
        </w:rPr>
        <w:t>.</w:t>
      </w:r>
      <w:r>
        <w:rPr>
          <w:color w:val="000000"/>
          <w:lang w:eastAsia="zh-CN"/>
        </w:rPr>
        <w:t>3.4</w:t>
      </w:r>
      <w:r>
        <w:rPr>
          <w:color w:val="000000"/>
        </w:rPr>
        <w:t xml:space="preserve"> of TS 33.117 [2].</w:t>
      </w:r>
    </w:p>
    <w:p>
      <w:pPr>
        <w:pStyle w:val="Heading3"/>
        <w:ind w:hanging="1134" w:left="1134"/>
        <w:rPr/>
      </w:pPr>
      <w:bookmarkStart w:id="54" w:name="__RefHeading___Toc137651474"/>
      <w:bookmarkEnd w:id="54"/>
      <w:r>
        <w:rPr/>
        <w:t>4.3.5</w:t>
        <w:tab/>
        <w:t>Network devices</w:t>
      </w:r>
    </w:p>
    <w:p>
      <w:pPr>
        <w:pStyle w:val="Normal"/>
        <w:rPr>
          <w:lang w:eastAsia="zh-CN"/>
        </w:rPr>
      </w:pPr>
      <w:r>
        <w:rPr>
          <w:color w:val="000000"/>
        </w:rPr>
        <w:t xml:space="preserve">There are no SMF-specific additions to clause </w:t>
      </w:r>
      <w:r>
        <w:rPr>
          <w:color w:val="000000"/>
        </w:rPr>
        <w:t>4</w:t>
      </w:r>
      <w:r>
        <w:rPr>
          <w:color w:val="000000"/>
        </w:rPr>
        <w:t>.</w:t>
      </w:r>
      <w:r>
        <w:rPr>
          <w:color w:val="000000"/>
          <w:lang w:eastAsia="zh-CN"/>
        </w:rPr>
        <w:t>3.5</w:t>
      </w:r>
      <w:r>
        <w:rPr>
          <w:color w:val="000000"/>
        </w:rPr>
        <w:t xml:space="preserve"> of TS 33.117 [2].</w:t>
      </w:r>
    </w:p>
    <w:p>
      <w:pPr>
        <w:pStyle w:val="Heading3"/>
        <w:keepNext w:val="false"/>
        <w:keepLines w:val="false"/>
        <w:suppressLineNumbers/>
        <w:suppressAutoHyphens w:val="true"/>
        <w:ind w:hanging="1134" w:left="1134"/>
        <w:rPr>
          <w:lang w:eastAsia="zh-CN"/>
        </w:rPr>
      </w:pPr>
      <w:bookmarkStart w:id="55" w:name="__RefHeading___Toc137651475"/>
      <w:bookmarkEnd w:id="55"/>
      <w:r>
        <w:rPr/>
        <w:t>4.</w:t>
      </w:r>
      <w:r>
        <w:rPr>
          <w:lang w:eastAsia="zh-CN"/>
        </w:rPr>
        <w:t>3</w:t>
      </w:r>
      <w:r>
        <w:rPr/>
        <w:t>.</w:t>
      </w:r>
      <w:r>
        <w:rPr>
          <w:lang w:eastAsia="zh-CN"/>
        </w:rPr>
        <w:t>6</w:t>
      </w:r>
      <w:r>
        <w:rPr/>
        <w:tab/>
        <w:t>Network functions in service-based architecture</w:t>
      </w:r>
    </w:p>
    <w:p>
      <w:pPr>
        <w:pStyle w:val="Normal"/>
        <w:rPr>
          <w:lang w:eastAsia="zh-CN"/>
        </w:rPr>
      </w:pPr>
      <w:r>
        <w:rPr>
          <w:color w:val="000000"/>
        </w:rPr>
        <w:t xml:space="preserve">There are no SMF-specific additions to clause </w:t>
      </w:r>
      <w:r>
        <w:rPr>
          <w:color w:val="000000"/>
        </w:rPr>
        <w:t>4</w:t>
      </w:r>
      <w:r>
        <w:rPr>
          <w:color w:val="000000"/>
        </w:rPr>
        <w:t>.</w:t>
      </w:r>
      <w:r>
        <w:rPr>
          <w:color w:val="000000"/>
          <w:lang w:eastAsia="zh-CN"/>
        </w:rPr>
        <w:t>3.6</w:t>
      </w:r>
      <w:r>
        <w:rPr>
          <w:color w:val="000000"/>
        </w:rPr>
        <w:t xml:space="preserve"> of TS 33.117 [2].</w:t>
      </w:r>
    </w:p>
    <w:p>
      <w:pPr>
        <w:pStyle w:val="Heading2"/>
        <w:keepNext w:val="false"/>
        <w:keepLines w:val="false"/>
        <w:suppressLineNumbers/>
        <w:suppressAutoHyphens w:val="true"/>
        <w:ind w:hanging="1134" w:left="1134"/>
        <w:rPr/>
      </w:pPr>
      <w:bookmarkStart w:id="56" w:name="__RefHeading___Toc137651476"/>
      <w:bookmarkEnd w:id="56"/>
      <w:r>
        <w:rPr/>
        <w:t>4.4</w:t>
        <w:tab/>
        <w:t>SMF-specific adaptations of basic vulnerability testing requirements and related test cases</w:t>
      </w:r>
    </w:p>
    <w:p>
      <w:pPr>
        <w:pStyle w:val="Heading3"/>
        <w:ind w:hanging="1134" w:left="1134"/>
        <w:rPr>
          <w:rFonts w:eastAsia="MS Mincho;ＭＳ 明朝"/>
          <w:lang w:eastAsia="zh-CN"/>
        </w:rPr>
      </w:pPr>
      <w:bookmarkStart w:id="57" w:name="__RefHeading___Toc137651477"/>
      <w:bookmarkEnd w:id="57"/>
      <w:r>
        <w:rPr>
          <w:rFonts w:eastAsia="MS Mincho;ＭＳ 明朝"/>
        </w:rPr>
        <w:t>4.4.1</w:t>
        <w:tab/>
        <w:t>Introduction</w:t>
      </w:r>
    </w:p>
    <w:p>
      <w:pPr>
        <w:pStyle w:val="Normal"/>
        <w:spacing w:before="0" w:after="0"/>
        <w:rPr/>
      </w:pPr>
      <w:r>
        <w:rPr>
          <w:lang w:val="en-US" w:eastAsia="en-US"/>
        </w:rPr>
        <w:t>There are no SMF specific additions to clause 4.4.1 of TS 33.117 [2].</w:t>
      </w:r>
    </w:p>
    <w:p>
      <w:pPr>
        <w:pStyle w:val="Normal"/>
        <w:spacing w:before="0" w:after="0"/>
        <w:rPr>
          <w:lang w:val="en-US" w:eastAsia="en-US"/>
        </w:rPr>
      </w:pPr>
      <w:r>
        <w:rPr>
          <w:lang w:val="en-US" w:eastAsia="en-US"/>
        </w:rPr>
      </w:r>
    </w:p>
    <w:p>
      <w:pPr>
        <w:pStyle w:val="Heading3"/>
        <w:ind w:hanging="1134" w:left="1134"/>
        <w:rPr/>
      </w:pPr>
      <w:bookmarkStart w:id="58" w:name="__RefHeading___Toc137651478"/>
      <w:bookmarkEnd w:id="58"/>
      <w:r>
        <w:rPr>
          <w:rFonts w:eastAsia="MS Mincho;ＭＳ 明朝"/>
        </w:rPr>
        <w:t>4.4.2</w:t>
        <w:tab/>
      </w:r>
      <w:r>
        <w:rPr>
          <w:rFonts w:eastAsia="MS Mincho;ＭＳ 明朝"/>
          <w:lang w:eastAsia="zh-CN"/>
        </w:rPr>
        <w:t>Port Scanning</w:t>
      </w:r>
    </w:p>
    <w:p>
      <w:pPr>
        <w:pStyle w:val="Normal"/>
        <w:spacing w:before="0" w:after="0"/>
        <w:rPr/>
      </w:pPr>
      <w:r>
        <w:rPr>
          <w:lang w:val="en-US" w:eastAsia="en-US"/>
        </w:rPr>
        <w:t>There are no SMF specific additions to clause 4.4.2 of TS 33.117 [2].</w:t>
      </w:r>
    </w:p>
    <w:p>
      <w:pPr>
        <w:pStyle w:val="Normal"/>
        <w:spacing w:before="0" w:after="0"/>
        <w:rPr>
          <w:lang w:val="en-US" w:eastAsia="en-US"/>
        </w:rPr>
      </w:pPr>
      <w:r>
        <w:rPr>
          <w:lang w:val="en-US" w:eastAsia="en-US"/>
        </w:rPr>
      </w:r>
    </w:p>
    <w:p>
      <w:pPr>
        <w:pStyle w:val="Heading3"/>
        <w:ind w:hanging="1134" w:left="1134"/>
        <w:rPr/>
      </w:pPr>
      <w:bookmarkStart w:id="59" w:name="__RefHeading___Toc137651479"/>
      <w:bookmarkEnd w:id="59"/>
      <w:r>
        <w:rPr>
          <w:rFonts w:eastAsia="MS Mincho;ＭＳ 明朝"/>
        </w:rPr>
        <w:t>4.4.3</w:t>
        <w:tab/>
      </w:r>
      <w:r>
        <w:rPr>
          <w:rFonts w:eastAsia="MS Mincho;ＭＳ 明朝"/>
          <w:lang w:eastAsia="zh-CN"/>
        </w:rPr>
        <w:t>Vulnerability scanning</w:t>
      </w:r>
    </w:p>
    <w:p>
      <w:pPr>
        <w:pStyle w:val="Normal"/>
        <w:spacing w:before="0" w:after="0"/>
        <w:rPr/>
      </w:pPr>
      <w:r>
        <w:rPr>
          <w:lang w:val="en-US" w:eastAsia="en-US"/>
        </w:rPr>
        <w:t>There are no SMF specific additions to clause 4.4.3 of TS 33.117 [2].</w:t>
      </w:r>
    </w:p>
    <w:p>
      <w:pPr>
        <w:pStyle w:val="Normal"/>
        <w:spacing w:before="0" w:after="0"/>
        <w:rPr>
          <w:lang w:val="en-US" w:eastAsia="en-US"/>
        </w:rPr>
      </w:pPr>
      <w:r>
        <w:rPr>
          <w:lang w:val="en-US" w:eastAsia="en-US"/>
        </w:rPr>
      </w:r>
    </w:p>
    <w:p>
      <w:pPr>
        <w:pStyle w:val="Heading3"/>
        <w:ind w:hanging="1134" w:left="1134"/>
        <w:rPr>
          <w:rFonts w:eastAsia="MS Mincho;ＭＳ 明朝"/>
        </w:rPr>
      </w:pPr>
      <w:bookmarkStart w:id="60" w:name="__RefHeading___Toc137651480"/>
      <w:r>
        <w:rPr>
          <w:rFonts w:eastAsia="MS Mincho;ＭＳ 明朝"/>
        </w:rPr>
        <w:t>4.4.4</w:t>
        <w:tab/>
        <w:t>Robustness and fuzz testing</w:t>
      </w:r>
      <w:bookmarkEnd w:id="60"/>
      <w:r>
        <w:rPr>
          <w:rFonts w:eastAsia="MS Mincho;ＭＳ 明朝"/>
        </w:rPr>
        <w:t xml:space="preserve"> </w:t>
      </w:r>
    </w:p>
    <w:p>
      <w:pPr>
        <w:pStyle w:val="Normal"/>
        <w:spacing w:before="0" w:after="0"/>
        <w:rPr>
          <w:lang w:val="en-US" w:eastAsia="en-US"/>
        </w:rPr>
      </w:pPr>
      <w:r>
        <w:rPr>
          <w:lang w:val="en-US" w:eastAsia="en-US"/>
        </w:rPr>
        <w:t>The test cases under clause 4.4.4 of TS 33.117 [2] are applicable to SMF.</w:t>
      </w:r>
    </w:p>
    <w:p>
      <w:pPr>
        <w:pStyle w:val="Normal"/>
        <w:spacing w:before="0" w:after="0"/>
        <w:rPr>
          <w:lang w:val="en-US" w:eastAsia="en-US"/>
        </w:rPr>
      </w:pPr>
      <w:r>
        <w:rPr>
          <w:lang w:val="en-US" w:eastAsia="en-US"/>
        </w:rPr>
      </w:r>
    </w:p>
    <w:p>
      <w:pPr>
        <w:pStyle w:val="Normal"/>
        <w:spacing w:before="0" w:after="0"/>
        <w:rPr>
          <w:lang w:val="en-US" w:eastAsia="en-US"/>
        </w:rPr>
      </w:pPr>
      <w:r>
        <w:rPr>
          <w:lang w:val="en-US" w:eastAsia="en-US"/>
        </w:rPr>
        <w:t>The interfaces defined for the SMF are defined in clause 4.2.3 of TS 23.501 [1].</w:t>
      </w:r>
    </w:p>
    <w:p>
      <w:pPr>
        <w:pStyle w:val="Normal"/>
        <w:spacing w:before="0" w:after="0"/>
        <w:rPr>
          <w:lang w:val="en-US" w:eastAsia="en-US"/>
        </w:rPr>
      </w:pPr>
      <w:r>
        <w:rPr>
          <w:lang w:val="en-US" w:eastAsia="en-US"/>
        </w:rPr>
      </w:r>
    </w:p>
    <w:p>
      <w:pPr>
        <w:pStyle w:val="Normal"/>
        <w:spacing w:before="0" w:after="0"/>
        <w:rPr/>
      </w:pPr>
      <w:r>
        <w:rPr>
          <w:lang w:val="en-US" w:eastAsia="en-US"/>
        </w:rPr>
        <w:t>According to clause 4.4.4 of TS 33.117 [2], the transport protocols available on the interfaces providing IP-based protocols need to be robustness tested. Following TCP/IP</w:t>
      </w:r>
      <w:r>
        <w:rPr>
          <w:lang w:val="en-US" w:eastAsia="en-US"/>
        </w:rPr>
        <w:t xml:space="preserve"> layer model and c</w:t>
      </w:r>
      <w:r>
        <w:rPr>
          <w:lang w:val="en-US" w:eastAsia="en-US"/>
        </w:rPr>
        <w:t>onsidering all the protocols over transport layer, for SMF, the following interfaces and protocols are in the scope of the testing:</w:t>
      </w:r>
    </w:p>
    <w:p>
      <w:pPr>
        <w:pStyle w:val="Normal"/>
        <w:spacing w:before="0" w:after="0"/>
        <w:rPr>
          <w:lang w:val="en-US" w:eastAsia="en-US"/>
        </w:rPr>
      </w:pPr>
      <w:r>
        <w:rPr>
          <w:lang w:val="en-US" w:eastAsia="en-US"/>
        </w:rPr>
      </w:r>
    </w:p>
    <w:p>
      <w:pPr>
        <w:pStyle w:val="B1"/>
        <w:rPr/>
      </w:pPr>
      <w:r>
        <w:rPr>
          <w:lang w:val="en-US" w:eastAsia="en-US"/>
        </w:rPr>
        <w:t>-</w:t>
        <w:tab/>
        <w:t>For Nsmf</w:t>
      </w:r>
      <w:r>
        <w:rPr>
          <w:lang w:val="en-US" w:eastAsia="en-US"/>
        </w:rPr>
        <w:t xml:space="preserve">: The TCP, HTTP2 and JSON </w:t>
      </w:r>
      <w:r>
        <w:rPr>
          <w:lang w:val="en-US" w:eastAsia="en-US"/>
        </w:rPr>
        <w:t>protocols.</w:t>
      </w:r>
    </w:p>
    <w:p>
      <w:pPr>
        <w:pStyle w:val="B1"/>
        <w:rPr/>
      </w:pPr>
      <w:r>
        <w:rPr>
          <w:lang w:val="en-US" w:eastAsia="en-US"/>
        </w:rPr>
        <w:t>-</w:t>
        <w:tab/>
        <w:t>For N4: The UDP and PFCP protocols.</w:t>
      </w:r>
    </w:p>
    <w:p>
      <w:pPr>
        <w:pStyle w:val="Normal"/>
        <w:spacing w:before="0" w:after="0"/>
        <w:rPr>
          <w:lang w:val="en-US" w:eastAsia="en-US"/>
        </w:rPr>
      </w:pPr>
      <w:r>
        <w:rPr>
          <w:lang w:val="en-US" w:eastAsia="en-US"/>
        </w:rPr>
      </w:r>
    </w:p>
    <w:p>
      <w:pPr>
        <w:pStyle w:val="NO"/>
        <w:rPr/>
      </w:pPr>
      <w:r>
        <w:rPr>
          <w:lang w:val="en-US" w:eastAsia="en-US"/>
        </w:rPr>
        <w:t>NOTE:</w:t>
        <w:tab/>
        <w:t>There could be other interfaces and/or protocols requiring testing under clause 4.4.4 of TS 33.117 [2]</w:t>
      </w:r>
      <w:r>
        <w:br w:type="page"/>
      </w:r>
    </w:p>
    <w:p>
      <w:pPr>
        <w:pStyle w:val="Heading8"/>
        <w:rPr/>
      </w:pPr>
      <w:bookmarkStart w:id="61" w:name="historyclause"/>
      <w:bookmarkStart w:id="62" w:name="__RefHeading___Toc137651481"/>
      <w:bookmarkEnd w:id="62"/>
      <w:r>
        <w:rPr/>
        <w:t>Annex A (informative):</w:t>
        <w:br/>
        <w:t>Change history</w:t>
      </w:r>
      <w:bookmarkEnd w:id="61"/>
    </w:p>
    <w:tbl>
      <w:tblPr>
        <w:tblW w:w="9639" w:type="dxa"/>
        <w:jc w:val="left"/>
        <w:tblInd w:w="40" w:type="dxa"/>
        <w:tblLayout w:type="fixed"/>
        <w:tblCellMar>
          <w:top w:w="0" w:type="dxa"/>
          <w:left w:w="40" w:type="dxa"/>
          <w:bottom w:w="0" w:type="dxa"/>
          <w:right w:w="40" w:type="dxa"/>
        </w:tblCellMar>
      </w:tblPr>
      <w:tblGrid>
        <w:gridCol w:w="800"/>
        <w:gridCol w:w="1000"/>
        <w:gridCol w:w="894"/>
        <w:gridCol w:w="567"/>
        <w:gridCol w:w="425"/>
        <w:gridCol w:w="425"/>
        <w:gridCol w:w="4820"/>
        <w:gridCol w:w="708"/>
      </w:tblGrid>
      <w:tr>
        <w:trPr>
          <w:cantSplit w:val="true"/>
        </w:trPr>
        <w:tc>
          <w:tcPr>
            <w:tcW w:w="9639" w:type="dxa"/>
            <w:gridSpan w:val="8"/>
            <w:tcBorders>
              <w:top w:val="single" w:sz="6" w:space="0" w:color="000000"/>
              <w:left w:val="single" w:sz="6" w:space="0" w:color="000000"/>
              <w:right w:val="single" w:sz="6" w:space="0" w:color="000000"/>
            </w:tcBorders>
            <w:shd w:fill="FFFFFF" w:val="clear"/>
          </w:tcPr>
          <w:p>
            <w:pPr>
              <w:pStyle w:val="TAL"/>
              <w:jc w:val="center"/>
              <w:rPr>
                <w:b/>
                <w:sz w:val="16"/>
              </w:rPr>
            </w:pPr>
            <w:r>
              <w:rPr>
                <w:b/>
              </w:rPr>
              <w:t>Change history</w:t>
            </w:r>
          </w:p>
        </w:tc>
      </w:tr>
      <w:tr>
        <w:trPr/>
        <w:tc>
          <w:tcPr>
            <w:tcW w:w="800"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Date</w:t>
            </w:r>
          </w:p>
        </w:tc>
        <w:tc>
          <w:tcPr>
            <w:tcW w:w="1000"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Meeting</w:t>
            </w:r>
          </w:p>
        </w:tc>
        <w:tc>
          <w:tcPr>
            <w:tcW w:w="894"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TDoc</w:t>
            </w:r>
          </w:p>
        </w:tc>
        <w:tc>
          <w:tcPr>
            <w:tcW w:w="567"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CR</w:t>
            </w:r>
          </w:p>
        </w:tc>
        <w:tc>
          <w:tcPr>
            <w:tcW w:w="425"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Rev</w:t>
            </w:r>
          </w:p>
        </w:tc>
        <w:tc>
          <w:tcPr>
            <w:tcW w:w="425"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Cat</w:t>
            </w:r>
          </w:p>
        </w:tc>
        <w:tc>
          <w:tcPr>
            <w:tcW w:w="4820"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Subject/Comment</w:t>
            </w:r>
          </w:p>
        </w:tc>
        <w:tc>
          <w:tcPr>
            <w:tcW w:w="708"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New version</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2019-09</w:t>
            </w:r>
          </w:p>
        </w:tc>
        <w:tc>
          <w:tcPr>
            <w:tcW w:w="10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SA#85</w:t>
            </w:r>
          </w:p>
        </w:tc>
        <w:tc>
          <w:tcPr>
            <w:tcW w:w="894"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lang w:eastAsia="zh-CN"/>
              </w:rPr>
            </w:pPr>
            <w:r>
              <w:rPr>
                <w:sz w:val="16"/>
                <w:szCs w:val="16"/>
                <w:lang w:eastAsia="zh-CN"/>
              </w:rPr>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eastAsia="zh-CN"/>
              </w:rPr>
            </w:pPr>
            <w:r>
              <w:rPr>
                <w:sz w:val="16"/>
                <w:szCs w:val="16"/>
                <w:lang w:eastAsia="zh-CN"/>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Change control version</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16.0.0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2019-10</w:t>
            </w:r>
          </w:p>
        </w:tc>
        <w:tc>
          <w:tcPr>
            <w:tcW w:w="1000"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lang w:eastAsia="zh-CN"/>
              </w:rPr>
            </w:pPr>
            <w:r>
              <w:rPr>
                <w:sz w:val="16"/>
                <w:szCs w:val="16"/>
                <w:lang w:eastAsia="zh-CN"/>
              </w:rPr>
            </w:r>
          </w:p>
        </w:tc>
        <w:tc>
          <w:tcPr>
            <w:tcW w:w="894"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lang w:eastAsia="zh-CN"/>
              </w:rPr>
            </w:pPr>
            <w:r>
              <w:rPr>
                <w:sz w:val="16"/>
                <w:szCs w:val="16"/>
                <w:lang w:eastAsia="zh-CN"/>
              </w:rPr>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eastAsia="zh-CN"/>
              </w:rPr>
            </w:pPr>
            <w:r>
              <w:rPr>
                <w:sz w:val="16"/>
                <w:szCs w:val="16"/>
                <w:lang w:eastAsia="zh-CN"/>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 xml:space="preserve">EditHelp review </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16.0.1</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2019-12</w:t>
            </w:r>
          </w:p>
        </w:tc>
        <w:tc>
          <w:tcPr>
            <w:tcW w:w="10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SA#86</w:t>
            </w:r>
          </w:p>
        </w:tc>
        <w:tc>
          <w:tcPr>
            <w:tcW w:w="8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SP-191138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0003</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fldChar w:fldCharType="begin"/>
            </w:r>
            <w:r>
              <w:rPr>
                <w:sz w:val="16"/>
                <w:szCs w:val="16"/>
                <w:lang w:eastAsia="zh-CN"/>
              </w:rPr>
              <w:instrText xml:space="preserve"> DOCPROPERTY "CrTitle"</w:instrText>
            </w:r>
            <w:r>
              <w:rPr>
                <w:sz w:val="16"/>
                <w:szCs w:val="16"/>
                <w:lang w:eastAsia="zh-CN"/>
              </w:rPr>
              <w:fldChar w:fldCharType="separate"/>
            </w:r>
            <w:r>
              <w:rPr>
                <w:sz w:val="16"/>
                <w:szCs w:val="16"/>
                <w:lang w:eastAsia="zh-CN"/>
              </w:rPr>
              <w:t>Adding missing abbreviations</w:t>
            </w:r>
            <w:r>
              <w:rPr>
                <w:sz w:val="16"/>
                <w:szCs w:val="16"/>
                <w:lang w:eastAsia="zh-CN"/>
              </w:rPr>
              <w:fldChar w:fldCharType="end"/>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16.1.0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2019-12</w:t>
            </w:r>
          </w:p>
        </w:tc>
        <w:tc>
          <w:tcPr>
            <w:tcW w:w="10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SA#86</w:t>
            </w:r>
          </w:p>
        </w:tc>
        <w:tc>
          <w:tcPr>
            <w:tcW w:w="8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SP-191138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0004</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 xml:space="preserve">Corrections for clean-up and alignment </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16.1.0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2020-07</w:t>
            </w:r>
          </w:p>
        </w:tc>
        <w:tc>
          <w:tcPr>
            <w:tcW w:w="1000"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SA#88e</w:t>
            </w:r>
          </w:p>
        </w:tc>
        <w:tc>
          <w:tcPr>
            <w:tcW w:w="894"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SP-200358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0005</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Deletion of the test case on TEID</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16.2.0</w:t>
            </w:r>
          </w:p>
        </w:tc>
      </w:tr>
      <w:tr>
        <w:trPr/>
        <w:tc>
          <w:tcPr>
            <w:tcW w:w="800" w:type="dxa"/>
            <w:tcBorders>
              <w:top w:val="single" w:sz="6"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2020-12</w:t>
            </w:r>
          </w:p>
        </w:tc>
        <w:tc>
          <w:tcPr>
            <w:tcW w:w="1000" w:type="dxa"/>
            <w:tcBorders>
              <w:top w:val="single" w:sz="6"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SA#90e</w:t>
            </w:r>
          </w:p>
        </w:tc>
        <w:tc>
          <w:tcPr>
            <w:tcW w:w="894" w:type="dxa"/>
            <w:tcBorders>
              <w:top w:val="single" w:sz="6"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SP-201004</w:t>
            </w:r>
          </w:p>
        </w:tc>
        <w:tc>
          <w:tcPr>
            <w:tcW w:w="567" w:type="dxa"/>
            <w:tcBorders>
              <w:top w:val="single" w:sz="6"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0006</w:t>
            </w:r>
          </w:p>
        </w:tc>
        <w:tc>
          <w:tcPr>
            <w:tcW w:w="425" w:type="dxa"/>
            <w:tcBorders>
              <w:top w:val="single" w:sz="6" w:space="0" w:color="000000"/>
              <w:left w:val="single" w:sz="6" w:space="0" w:color="000000"/>
              <w:bottom w:val="single" w:sz="12"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12"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6" w:space="0" w:color="000000"/>
              <w:left w:val="single" w:sz="6" w:space="0" w:color="000000"/>
              <w:bottom w:val="single" w:sz="12" w:space="0" w:color="000000"/>
              <w:right w:val="single" w:sz="6" w:space="0" w:color="000000"/>
            </w:tcBorders>
            <w:shd w:fill="FFFFFF" w:val="clear"/>
          </w:tcPr>
          <w:p>
            <w:pPr>
              <w:pStyle w:val="TAL"/>
              <w:rPr>
                <w:sz w:val="16"/>
                <w:szCs w:val="16"/>
                <w:lang w:eastAsia="zh-CN"/>
              </w:rPr>
            </w:pPr>
            <w:r>
              <w:rPr>
                <w:sz w:val="16"/>
                <w:szCs w:val="16"/>
                <w:lang w:eastAsia="zh-CN"/>
              </w:rPr>
              <w:t>Reference of general SBA/SBI aspect in 33.515</w:t>
            </w:r>
          </w:p>
        </w:tc>
        <w:tc>
          <w:tcPr>
            <w:tcW w:w="708" w:type="dxa"/>
            <w:tcBorders>
              <w:top w:val="single" w:sz="6"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16.3.0</w:t>
            </w:r>
          </w:p>
        </w:tc>
      </w:tr>
      <w:tr>
        <w:trPr/>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2021-09</w:t>
            </w:r>
          </w:p>
        </w:tc>
        <w:tc>
          <w:tcPr>
            <w:tcW w:w="10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SA#93e</w:t>
            </w:r>
          </w:p>
        </w:tc>
        <w:tc>
          <w:tcPr>
            <w:tcW w:w="894"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SP-210849</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0008</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lang w:eastAsia="zh-CN"/>
              </w:rPr>
            </w:pPr>
            <w:r>
              <w:rPr>
                <w:sz w:val="16"/>
                <w:szCs w:val="16"/>
                <w:lang w:eastAsia="zh-CN"/>
              </w:rPr>
              <w:t>Correction of message name in SMF</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16.4.0</w:t>
            </w:r>
          </w:p>
        </w:tc>
      </w:tr>
      <w:tr>
        <w:trPr/>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2022-03</w:t>
            </w:r>
          </w:p>
        </w:tc>
        <w:tc>
          <w:tcPr>
            <w:tcW w:w="10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w:t>
            </w:r>
          </w:p>
        </w:tc>
        <w:tc>
          <w:tcPr>
            <w:tcW w:w="894"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rPr>
            </w:pPr>
            <w:r>
              <w:rPr>
                <w:sz w:val="16"/>
                <w:szCs w:val="16"/>
              </w:rPr>
              <w:t>-</w:t>
            </w:r>
          </w:p>
        </w:tc>
        <w:tc>
          <w:tcPr>
            <w:tcW w:w="4820"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lang w:eastAsia="zh-CN"/>
              </w:rPr>
            </w:pPr>
            <w:r>
              <w:rPr>
                <w:sz w:val="16"/>
                <w:szCs w:val="16"/>
                <w:lang w:eastAsia="zh-CN"/>
              </w:rPr>
              <w:t>Update to Rel-17 version (MCC)</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C"/>
              <w:rPr>
                <w:bCs/>
                <w:sz w:val="16"/>
                <w:szCs w:val="16"/>
                <w:lang w:eastAsia="zh-CN"/>
              </w:rPr>
            </w:pPr>
            <w:r>
              <w:rPr>
                <w:bCs/>
                <w:sz w:val="16"/>
                <w:szCs w:val="16"/>
                <w:lang w:eastAsia="zh-CN"/>
              </w:rPr>
              <w:t>17.0.0</w:t>
            </w:r>
          </w:p>
        </w:tc>
      </w:tr>
      <w:tr>
        <w:trPr/>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C"/>
              <w:rPr/>
            </w:pPr>
            <w:r>
              <w:rPr>
                <w:sz w:val="16"/>
                <w:szCs w:val="16"/>
                <w:lang w:eastAsia="zh-CN"/>
              </w:rPr>
              <w:t>2023-06</w:t>
            </w:r>
          </w:p>
        </w:tc>
        <w:tc>
          <w:tcPr>
            <w:tcW w:w="10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SA#100</w:t>
            </w:r>
          </w:p>
        </w:tc>
        <w:tc>
          <w:tcPr>
            <w:tcW w:w="894"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SP-230677</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0009</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rPr>
            </w:pPr>
            <w:r>
              <w:rPr>
                <w:sz w:val="16"/>
                <w:szCs w:val="16"/>
              </w:rPr>
              <w:t>B</w:t>
            </w:r>
          </w:p>
        </w:tc>
        <w:tc>
          <w:tcPr>
            <w:tcW w:w="4820"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lang w:eastAsia="zh-CN"/>
              </w:rPr>
            </w:pPr>
            <w:r>
              <w:rPr>
                <w:sz w:val="16"/>
                <w:szCs w:val="16"/>
                <w:lang w:eastAsia="zh-CN"/>
              </w:rPr>
              <w:t>Robustness interfaces and protocols defined for SMF</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C"/>
              <w:rPr>
                <w:bCs/>
                <w:sz w:val="16"/>
                <w:szCs w:val="16"/>
                <w:lang w:eastAsia="zh-CN"/>
              </w:rPr>
            </w:pPr>
            <w:r>
              <w:rPr>
                <w:bCs/>
                <w:sz w:val="16"/>
                <w:szCs w:val="16"/>
                <w:lang w:eastAsia="zh-CN"/>
              </w:rPr>
              <w:t>18.0.0</w:t>
            </w:r>
          </w:p>
        </w:tc>
      </w:tr>
      <w:tr>
        <w:trPr/>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2023-06</w:t>
            </w:r>
          </w:p>
        </w:tc>
        <w:tc>
          <w:tcPr>
            <w:tcW w:w="10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SA#100</w:t>
            </w:r>
          </w:p>
        </w:tc>
        <w:tc>
          <w:tcPr>
            <w:tcW w:w="894"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SP-230677</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0010</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lang w:eastAsia="zh-CN"/>
              </w:rPr>
            </w:pPr>
            <w:r>
              <w:rPr>
                <w:sz w:val="16"/>
                <w:szCs w:val="16"/>
                <w:lang w:eastAsia="zh-CN"/>
              </w:rPr>
              <w:t>SCAS release reference corrections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C"/>
              <w:rPr>
                <w:bCs/>
                <w:sz w:val="16"/>
                <w:szCs w:val="16"/>
                <w:lang w:eastAsia="zh-CN"/>
              </w:rPr>
            </w:pPr>
            <w:r>
              <w:rPr>
                <w:bCs/>
                <w:sz w:val="16"/>
                <w:szCs w:val="16"/>
                <w:lang w:eastAsia="zh-CN"/>
              </w:rPr>
              <w:t>18.0.0</w:t>
            </w:r>
          </w:p>
        </w:tc>
      </w:tr>
      <w:tr>
        <w:trPr/>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2023-12</w:t>
            </w:r>
          </w:p>
        </w:tc>
        <w:tc>
          <w:tcPr>
            <w:tcW w:w="10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SA#102</w:t>
            </w:r>
          </w:p>
        </w:tc>
        <w:tc>
          <w:tcPr>
            <w:tcW w:w="894"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lang w:eastAsia="zh-CN"/>
              </w:rPr>
            </w:pPr>
            <w:r>
              <w:rPr>
                <w:sz w:val="16"/>
                <w:szCs w:val="16"/>
                <w:lang w:eastAsia="zh-CN"/>
              </w:rPr>
              <w:t>SP-231339</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0011</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lang w:eastAsia="zh-CN"/>
              </w:rPr>
            </w:pPr>
            <w:r>
              <w:rPr>
                <w:sz w:val="16"/>
                <w:szCs w:val="16"/>
                <w:lang w:eastAsia="zh-CN"/>
              </w:rPr>
              <w:t>Correction of IE and protocol</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C"/>
              <w:rPr>
                <w:bCs/>
                <w:sz w:val="16"/>
                <w:szCs w:val="16"/>
                <w:lang w:eastAsia="zh-CN"/>
              </w:rPr>
            </w:pPr>
            <w:r>
              <w:rPr>
                <w:bCs/>
                <w:sz w:val="16"/>
                <w:szCs w:val="16"/>
                <w:lang w:eastAsia="zh-CN"/>
              </w:rPr>
              <w:t>18.1.0</w:t>
            </w:r>
          </w:p>
        </w:tc>
      </w:tr>
      <w:tr>
        <w:trPr/>
        <w:tc>
          <w:tcPr>
            <w:tcW w:w="800" w:type="dxa"/>
            <w:tcBorders>
              <w:top w:val="single" w:sz="12"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2025-07</w:t>
            </w:r>
          </w:p>
        </w:tc>
        <w:tc>
          <w:tcPr>
            <w:tcW w:w="1000" w:type="dxa"/>
            <w:tcBorders>
              <w:top w:val="single" w:sz="12"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SA#108</w:t>
            </w:r>
          </w:p>
        </w:tc>
        <w:tc>
          <w:tcPr>
            <w:tcW w:w="894" w:type="dxa"/>
            <w:tcBorders>
              <w:top w:val="single" w:sz="12"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SP-250657</w:t>
            </w:r>
          </w:p>
        </w:tc>
        <w:tc>
          <w:tcPr>
            <w:tcW w:w="567" w:type="dxa"/>
            <w:tcBorders>
              <w:top w:val="single" w:sz="12"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0012</w:t>
            </w:r>
          </w:p>
        </w:tc>
        <w:tc>
          <w:tcPr>
            <w:tcW w:w="425" w:type="dxa"/>
            <w:tcBorders>
              <w:top w:val="single" w:sz="12"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12"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12"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Correction of test names and clean up of 33.515</w:t>
            </w:r>
          </w:p>
        </w:tc>
        <w:tc>
          <w:tcPr>
            <w:tcW w:w="708" w:type="dxa"/>
            <w:tcBorders>
              <w:top w:val="single" w:sz="12" w:space="0" w:color="000000"/>
              <w:left w:val="single" w:sz="6" w:space="0" w:color="000000"/>
              <w:bottom w:val="single" w:sz="6" w:space="0" w:color="000000"/>
              <w:right w:val="single" w:sz="6" w:space="0" w:color="000000"/>
            </w:tcBorders>
            <w:shd w:fill="FFFFFF" w:val="clear"/>
          </w:tcPr>
          <w:p>
            <w:pPr>
              <w:pStyle w:val="TAC"/>
              <w:rPr>
                <w:bCs/>
                <w:sz w:val="16"/>
                <w:szCs w:val="16"/>
                <w:lang w:eastAsia="zh-CN"/>
              </w:rPr>
            </w:pPr>
            <w:r>
              <w:rPr>
                <w:bCs/>
                <w:sz w:val="16"/>
                <w:szCs w:val="16"/>
                <w:lang w:eastAsia="zh-CN"/>
              </w:rPr>
              <w:t>19.0.0</w:t>
            </w:r>
          </w:p>
        </w:tc>
      </w:tr>
    </w:tbl>
    <w:p>
      <w:pPr>
        <w:pStyle w:val="Normal"/>
        <w:rPr/>
      </w:pPr>
      <w:r>
        <w:rPr/>
      </w:r>
    </w:p>
    <w:p>
      <w:pPr>
        <w:pStyle w:val="Normal"/>
        <w:spacing w:before="0" w:after="180"/>
        <w:rPr/>
      </w:pPr>
      <w:r>
        <w:rPr/>
      </w:r>
    </w:p>
    <w:sectPr>
      <w:headerReference w:type="default" r:id="rId8"/>
      <w:footerReference w:type="default" r:id="rId9"/>
      <w:type w:val="nextPage"/>
      <w:pgSz w:w="11906" w:h="16838"/>
      <w:pgMar w:left="1134" w:right="1134" w:gutter="0" w:header="850" w:top="1417" w:footer="340" w:bottom="1134"/>
      <w:pgNumType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Segoe UI">
    <w:charset w:val="00"/>
    <w:family w:val="swiss"/>
    <w:pitch w:val="variable"/>
  </w:font>
  <w:font w:name="Calibri Light">
    <w:charset w:val="00"/>
    <w:family w:val="swiss"/>
    <w:pitch w:val="variable"/>
  </w:font>
  <w:font w:name="Tahoma">
    <w:charset w:val="00"/>
    <w:family w:val="swiss"/>
    <w:pitch w:val="variable"/>
  </w:font>
  <w:font w:name="Calibri">
    <w:charset w:val="00"/>
    <w:family w:val="swiss"/>
    <w:pitch w:val="variable"/>
  </w:font>
  <w:font w:name="Symbol">
    <w:charset w:val="0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ETSI</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24">
              <wp:simplePos x="0" y="0"/>
              <wp:positionH relativeFrom="margin">
                <wp:align>right</wp:align>
              </wp:positionH>
              <wp:positionV relativeFrom="paragraph">
                <wp:posOffset>635</wp:posOffset>
              </wp:positionV>
              <wp:extent cx="14605" cy="131445"/>
              <wp:effectExtent l="0" t="0" r="0" b="0"/>
              <wp:wrapSquare wrapText="bothSides"/>
              <wp:docPr id="12" name="Frame10"/>
              <a:graphic xmlns:a="http://schemas.openxmlformats.org/drawingml/2006/main">
                <a:graphicData uri="http://schemas.microsoft.com/office/word/2010/wordprocessingShape">
                  <wps:wsp>
                    <wps:cNvSpPr txBox="1"/>
                    <wps:spPr>
                      <a:xfrm>
                        <a:off x="0" y="0"/>
                        <a:ext cx="14605" cy="131445"/>
                      </a:xfrm>
                      <a:prstGeom prst="rect"/>
                      <a:solidFill>
                        <a:srgbClr val="FFFFFF">
                          <a:alpha val="0"/>
                        </a:srgbClr>
                      </a:solidFill>
                    </wps:spPr>
                    <wps:txbx>
                      <w:txbxContent>
                        <w:p>
                          <w:pPr>
                            <w:pStyle w:val="Header"/>
                            <w:widowControl/>
                            <w:rPr/>
                          </w:pPr>
                          <w:r>
                            <w:rPr/>
                          </w:r>
                        </w:p>
                      </w:txbxContent>
                    </wps:txbx>
                    <wps:bodyPr anchor="t" lIns="0" tIns="0" rIns="0" bIns="0">
                      <a:noAutofit/>
                    </wps:bodyPr>
                  </wps:wsp>
                </a:graphicData>
              </a:graphic>
            </wp:anchor>
          </w:drawing>
        </mc:Choice>
        <mc:Fallback>
          <w:pict>
            <v:rect fillcolor="#FFFFFF" style="position:absolute;rotation:-0;width:1.15pt;height:10.35pt;mso-wrap-distance-left:0pt;mso-wrap-distance-right:0pt;mso-wrap-distance-top:0pt;mso-wrap-distance-bottom:0pt;margin-top:0.05pt;mso-position-vertical-relative:text;margin-left:480.75pt;mso-position-horizontal:right;mso-position-horizontal-relative:margin">
              <v:fill opacity="0f"/>
              <v:textbox inset="0in,0in,0in,0in">
                <w:txbxContent>
                  <w:p>
                    <w:pPr>
                      <w:pStyle w:val="Header"/>
                      <w:widowControl/>
                      <w:rPr/>
                    </w:pPr>
                    <w:r>
                      <w:rPr/>
                    </w:r>
                  </w:p>
                </w:txbxContent>
              </v:textbox>
              <w10:wrap type="square"/>
            </v:rect>
          </w:pict>
        </mc:Fallback>
      </mc:AlternateContent>
    </w:r>
    <w:r>
      <mc:AlternateContent>
        <mc:Choice Requires="wps">
          <w:drawing>
            <wp:anchor behindDoc="0" distT="0" distB="0" distL="0" distR="0" simplePos="0" locked="0" layoutInCell="0" allowOverlap="1" relativeHeight="36">
              <wp:simplePos x="0" y="0"/>
              <wp:positionH relativeFrom="margin">
                <wp:align>center</wp:align>
              </wp:positionH>
              <wp:positionV relativeFrom="paragraph">
                <wp:posOffset>635</wp:posOffset>
              </wp:positionV>
              <wp:extent cx="127635" cy="131445"/>
              <wp:effectExtent l="0" t="0" r="0" b="0"/>
              <wp:wrapSquare wrapText="bothSides"/>
              <wp:docPr id="13" name="Frame11"/>
              <a:graphic xmlns:a="http://schemas.openxmlformats.org/drawingml/2006/main">
                <a:graphicData uri="http://schemas.microsoft.com/office/word/2010/wordprocessingShape">
                  <wps:wsp>
                    <wps:cNvSpPr txBox="1"/>
                    <wps:spPr>
                      <a:xfrm>
                        <a:off x="0" y="0"/>
                        <a:ext cx="127635" cy="131445"/>
                      </a:xfrm>
                      <a:prstGeom prst="rect"/>
                      <a:solidFill>
                        <a:srgbClr val="FFFFFF">
                          <a:alpha val="0"/>
                        </a:srgbClr>
                      </a:solidFill>
                    </wps:spPr>
                    <wps:txbx>
                      <w:txbxContent>
                        <w:p>
                          <w:pPr>
                            <w:pStyle w:val="Header"/>
                            <w:widowControl/>
                            <w:rPr/>
                          </w:pPr>
                          <w:r>
                            <w:rPr/>
                            <w:fldChar w:fldCharType="begin"/>
                          </w:r>
                          <w:r>
                            <w:rPr/>
                            <w:instrText xml:space="preserve"> PAGE </w:instrText>
                          </w:r>
                          <w:r>
                            <w:rPr/>
                            <w:fldChar w:fldCharType="separate"/>
                          </w:r>
                          <w:r>
                            <w:rPr/>
                            <w:t>13</w:t>
                          </w:r>
                          <w:r>
                            <w:rPr/>
                            <w:fldChar w:fldCharType="end"/>
                          </w:r>
                        </w:p>
                      </w:txbxContent>
                    </wps:txbx>
                    <wps:bodyPr anchor="t" lIns="0" tIns="0" rIns="0" bIns="0">
                      <a:noAutofit/>
                    </wps:bodyPr>
                  </wps:wsp>
                </a:graphicData>
              </a:graphic>
            </wp:anchor>
          </w:drawing>
        </mc:Choice>
        <mc:Fallback>
          <w:pict>
            <v:rect fillcolor="#FFFFFF" style="position:absolute;rotation:-0;width:10.05pt;height:10.35pt;mso-wrap-distance-left:0pt;mso-wrap-distance-right:0pt;mso-wrap-distance-top:0pt;mso-wrap-distance-bottom:0pt;margin-top:0.05pt;mso-position-vertical-relative:text;margin-left:235.95pt;mso-position-horizontal:center;mso-position-horizontal-relative:margin">
              <v:fill opacity="0f"/>
              <v:textbox inset="0in,0in,0in,0in">
                <w:txbxContent>
                  <w:p>
                    <w:pPr>
                      <w:pStyle w:val="Header"/>
                      <w:widowControl/>
                      <w:rPr/>
                    </w:pPr>
                    <w:r>
                      <w:rPr/>
                      <w:fldChar w:fldCharType="begin"/>
                    </w:r>
                    <w:r>
                      <w:rPr/>
                      <w:instrText xml:space="preserve"> PAGE </w:instrText>
                    </w:r>
                    <w:r>
                      <w:rPr/>
                      <w:fldChar w:fldCharType="separate"/>
                    </w:r>
                    <w:r>
                      <w:rPr/>
                      <w:t>13</w:t>
                    </w:r>
                    <w:r>
                      <w:rPr/>
                      <w:fldChar w:fldCharType="end"/>
                    </w:r>
                  </w:p>
                </w:txbxContent>
              </v:textbox>
              <w10:wrap type="square"/>
            </v:rect>
          </w:pict>
        </mc:Fallback>
      </mc:AlternateContent>
    </w:r>
    <w:r>
      <mc:AlternateContent>
        <mc:Choice Requires="wps">
          <w:drawing>
            <wp:anchor behindDoc="0" distT="0" distB="0" distL="0" distR="0" simplePos="0" locked="0" layoutInCell="0" allowOverlap="1" relativeHeight="48">
              <wp:simplePos x="0" y="0"/>
              <wp:positionH relativeFrom="margin">
                <wp:align>left</wp:align>
              </wp:positionH>
              <wp:positionV relativeFrom="paragraph">
                <wp:posOffset>635</wp:posOffset>
              </wp:positionV>
              <wp:extent cx="14605" cy="131445"/>
              <wp:effectExtent l="0" t="0" r="0" b="0"/>
              <wp:wrapSquare wrapText="bothSides"/>
              <wp:docPr id="14" name="Frame12"/>
              <a:graphic xmlns:a="http://schemas.openxmlformats.org/drawingml/2006/main">
                <a:graphicData uri="http://schemas.microsoft.com/office/word/2010/wordprocessingShape">
                  <wps:wsp>
                    <wps:cNvSpPr txBox="1"/>
                    <wps:spPr>
                      <a:xfrm>
                        <a:off x="0" y="0"/>
                        <a:ext cx="14605" cy="131445"/>
                      </a:xfrm>
                      <a:prstGeom prst="rect"/>
                      <a:solidFill>
                        <a:srgbClr val="FFFFFF">
                          <a:alpha val="0"/>
                        </a:srgbClr>
                      </a:solidFill>
                    </wps:spPr>
                    <wps:txbx>
                      <w:txbxContent>
                        <w:p>
                          <w:pPr>
                            <w:pStyle w:val="Header"/>
                            <w:widowControl/>
                            <w:rPr/>
                          </w:pPr>
                          <w:r>
                            <w:rPr/>
                          </w:r>
                        </w:p>
                      </w:txbxContent>
                    </wps:txbx>
                    <wps:bodyPr anchor="t" lIns="0" tIns="0" rIns="0" bIns="0">
                      <a:noAutofit/>
                    </wps:bodyPr>
                  </wps:wsp>
                </a:graphicData>
              </a:graphic>
            </wp:anchor>
          </w:drawing>
        </mc:Choice>
        <mc:Fallback>
          <w:pict>
            <v:rect fillcolor="#FFFFFF" style="position:absolute;rotation:-0;width:1.15pt;height:10.35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widowControl/>
                      <w:rPr/>
                    </w:pPr>
                    <w:r>
                      <w:rPr/>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1492"/>
        </w:tabs>
        <w:ind w:left="1492" w:hanging="360"/>
      </w:pPr>
    </w:lvl>
  </w:abstractNum>
  <w:abstractNum w:abstractNumId="3">
    <w:lvl w:ilvl="0">
      <w:start w:val="1"/>
      <w:numFmt w:val="decimal"/>
      <w:lvlText w:val="%1."/>
      <w:lvlJc w:val="left"/>
      <w:pPr>
        <w:tabs>
          <w:tab w:val="num" w:pos="1209"/>
        </w:tabs>
        <w:ind w:left="1209" w:hanging="360"/>
      </w:pPr>
    </w:lvl>
  </w:abstractNum>
  <w:abstractNum w:abstractNumId="4">
    <w:lvl w:ilvl="0">
      <w:start w:val="1"/>
      <w:numFmt w:val="decimal"/>
      <w:lvlText w:val="%1."/>
      <w:lvlJc w:val="left"/>
      <w:pPr>
        <w:tabs>
          <w:tab w:val="num" w:pos="926"/>
        </w:tabs>
        <w:ind w:left="926" w:hanging="360"/>
      </w:pPr>
    </w:lvl>
  </w:abstractNum>
  <w:abstractNum w:abstractNumId="5">
    <w:lvl w:ilvl="0">
      <w:start w:val="1"/>
      <w:numFmt w:val="bullet"/>
      <w:lvlText w:val=""/>
      <w:lvlJc w:val="left"/>
      <w:pPr>
        <w:tabs>
          <w:tab w:val="num" w:pos="737"/>
        </w:tabs>
        <w:ind w:left="737" w:hanging="453"/>
      </w:pPr>
      <w:rPr>
        <w:rFonts w:ascii="Symbol" w:hAnsi="Symbol" w:cs="Symbol" w:hint="default"/>
        <w:color w:val="000000"/>
      </w:rPr>
    </w:lvl>
  </w:abstractNum>
  <w:abstractNum w:abstractNumId="6">
    <w:lvl w:ilvl="0">
      <w:start w:val="1"/>
      <w:numFmt w:val="lowerLetter"/>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60"/>
  <w:defaultTabStop w:val="284"/>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spacing w:before="0" w:after="180"/>
      <w:textAlignment w:val="baseline"/>
    </w:pPr>
    <w:rPr>
      <w:rFonts w:ascii="Times New Roman" w:hAnsi="Times New Roman" w:eastAsia="Times New Roman" w:cs="Times New Roman"/>
      <w:color w:val="auto"/>
      <w:sz w:val="20"/>
      <w:szCs w:val="20"/>
      <w:lang w:val="en-GB" w:bidi="ar-SA" w:eastAsia="zh-CN"/>
    </w:rPr>
  </w:style>
  <w:style w:type="paragraph" w:styleId="Heading1">
    <w:name w:val="Heading 1"/>
    <w:next w:val="Normal"/>
    <w:qFormat/>
    <w:pPr>
      <w:keepNext w:val="true"/>
      <w:keepLines/>
      <w:widowControl/>
      <w:numPr>
        <w:ilvl w:val="0"/>
        <w:numId w:val="1"/>
      </w:numPr>
      <w:pBdr>
        <w:top w:val="single" w:sz="12" w:space="3" w:color="000000"/>
      </w:pBdr>
      <w:overflowPunct w:val="false"/>
      <w:autoSpaceDE w:val="false"/>
      <w:bidi w:val="0"/>
      <w:spacing w:before="240" w:after="180"/>
      <w:ind w:hanging="1134" w:left="1134" w:right="0"/>
      <w:textAlignment w:val="baseline"/>
      <w:outlineLvl w:val="0"/>
    </w:pPr>
    <w:rPr>
      <w:rFonts w:ascii="Arial" w:hAnsi="Arial" w:eastAsia="Times New Roman" w:cs="Arial"/>
      <w:color w:val="auto"/>
      <w:sz w:val="36"/>
      <w:szCs w:val="20"/>
      <w:lang w:val="en-GB" w:bidi="ar-SA" w:eastAsia="zh-CN"/>
    </w:rPr>
  </w:style>
  <w:style w:type="paragraph" w:styleId="Heading2">
    <w:name w:val="Heading 2"/>
    <w:basedOn w:val="Heading1"/>
    <w:next w:val="Normal"/>
    <w:qFormat/>
    <w:pPr>
      <w:numPr>
        <w:ilvl w:val="1"/>
        <w:numId w:val="1"/>
      </w:numPr>
      <w:pBdr>
        <w:top w:val="nil"/>
      </w:pBdr>
      <w:spacing w:before="180" w:after="180"/>
      <w:outlineLvl w:val="1"/>
    </w:pPr>
    <w:rPr>
      <w:sz w:val="32"/>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hanging="1418" w:left="1418" w:right="0"/>
      <w:outlineLvl w:val="3"/>
    </w:pPr>
    <w:rPr>
      <w:sz w:val="24"/>
    </w:rPr>
  </w:style>
  <w:style w:type="paragraph" w:styleId="Heading5">
    <w:name w:val="Heading 5"/>
    <w:basedOn w:val="Heading4"/>
    <w:next w:val="Normal"/>
    <w:qFormat/>
    <w:pPr>
      <w:numPr>
        <w:ilvl w:val="4"/>
        <w:numId w:val="1"/>
      </w:numPr>
      <w:ind w:hanging="1701" w:left="1701" w:right="0"/>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hanging="0" w:left="0" w:right="0"/>
      <w:outlineLvl w:val="7"/>
    </w:pPr>
    <w:rPr/>
  </w:style>
  <w:style w:type="paragraph" w:styleId="Heading9">
    <w:name w:val="Heading 9"/>
    <w:basedOn w:val="Heading8"/>
    <w:next w:val="Normal"/>
    <w:qFormat/>
    <w:pPr>
      <w:numPr>
        <w:ilvl w:val="8"/>
        <w:numId w:val="1"/>
      </w:numPr>
      <w:outlineLvl w:val="8"/>
    </w:pPr>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2z0">
    <w:name w:val="WW8Num12z0"/>
    <w:qFormat/>
    <w:rPr>
      <w:rFonts w:ascii="Times New Roman" w:hAnsi="Times New Roman" w:eastAsia="Times New Roman" w:cs="Times New Roman"/>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rFonts w:ascii="Times New Roman" w:hAnsi="Times New Roman" w:eastAsia="Times New Roman" w:cs="Times New Roman"/>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rFonts w:ascii="Times New Roman" w:hAnsi="Times New Roman" w:eastAsia="Times New Roman" w:cs="Times New Roman"/>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style>
  <w:style w:type="character" w:styleId="WW8Num17z0">
    <w:name w:val="WW8Num17z0"/>
    <w:qFormat/>
    <w:rPr>
      <w:rFonts w:ascii="Symbol" w:hAnsi="Symbol" w:cs="Symbol"/>
      <w:color w:val="000000"/>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Times New Roman" w:hAnsi="Times New Roman" w:eastAsia="Times New Roman" w:cs="Times New Roman"/>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4z0">
    <w:name w:val="WW8Num24z0"/>
    <w:qFormat/>
    <w:rPr>
      <w:rFonts w:ascii="Times New Roman" w:hAnsi="Times New Roman" w:eastAsia="Times New Roman" w:cs="Times New Roman"/>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4z3">
    <w:name w:val="WW8Num24z3"/>
    <w:qFormat/>
    <w:rPr>
      <w:rFonts w:ascii="Symbol" w:hAnsi="Symbol" w:cs="Symbol"/>
    </w:rPr>
  </w:style>
  <w:style w:type="character" w:styleId="WW8Num26z0">
    <w:name w:val="WW8Num26z0"/>
    <w:qFormat/>
    <w:rPr>
      <w:rFonts w:ascii="Times New Roman" w:hAnsi="Times New Roman" w:eastAsia="Times New Roman" w:cs="Times New Roman"/>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6z3">
    <w:name w:val="WW8Num26z3"/>
    <w:qFormat/>
    <w:rPr>
      <w:rFonts w:ascii="Symbol" w:hAnsi="Symbol" w:cs="Symbol"/>
    </w:rPr>
  </w:style>
  <w:style w:type="character" w:styleId="WW8Num27z0">
    <w:name w:val="WW8Num27z0"/>
    <w:qFormat/>
    <w:rPr>
      <w:rFonts w:ascii="Times New Roman" w:hAnsi="Times New Roman" w:eastAsia="Times New Roman" w:cs="Times New Roman"/>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7z3">
    <w:name w:val="WW8Num27z3"/>
    <w:qFormat/>
    <w:rPr>
      <w:rFonts w:ascii="Symbol" w:hAnsi="Symbol" w:cs="Symbol"/>
    </w:rPr>
  </w:style>
  <w:style w:type="character" w:styleId="WW8Num28z0">
    <w:name w:val="WW8Num28z0"/>
    <w:qFormat/>
    <w:rPr/>
  </w:style>
  <w:style w:type="character" w:styleId="WW8NumSt1z0">
    <w:name w:val="WW8NumSt1z0"/>
    <w:qFormat/>
    <w:rPr>
      <w:rFonts w:ascii="Symbol" w:hAnsi="Symbol" w:cs="Symbol"/>
    </w:rPr>
  </w:style>
  <w:style w:type="character" w:styleId="WW8NumSt2z0">
    <w:name w:val="WW8NumSt2z0"/>
    <w:qFormat/>
    <w:rPr>
      <w:rFonts w:ascii="Symbol" w:hAnsi="Symbol" w:cs="Symbol"/>
    </w:rPr>
  </w:style>
  <w:style w:type="character" w:styleId="DefaultParagraphFont">
    <w:name w:val="Default Paragraph Font"/>
    <w:qFormat/>
    <w:rPr/>
  </w:style>
  <w:style w:type="character" w:styleId="Heading4Char">
    <w:name w:val="Heading 4 Char"/>
    <w:qFormat/>
    <w:rPr>
      <w:rFonts w:ascii="Arial" w:hAnsi="Arial" w:eastAsia="Times New Roman" w:cs="Arial"/>
      <w:sz w:val="24"/>
    </w:rPr>
  </w:style>
  <w:style w:type="character" w:styleId="FootnoteCharacters">
    <w:name w:val="Footnote Characters"/>
    <w:qFormat/>
    <w:rPr>
      <w:b/>
      <w:sz w:val="16"/>
      <w:vertAlign w:val="superscript"/>
    </w:rPr>
  </w:style>
  <w:style w:type="character" w:styleId="ZGSM">
    <w:name w:val="ZGSM"/>
    <w:qFormat/>
    <w:rPr/>
  </w:style>
  <w:style w:type="character" w:styleId="B1Char">
    <w:name w:val="B1 Char"/>
    <w:qFormat/>
    <w:rPr>
      <w:rFonts w:ascii="Times New Roman" w:hAnsi="Times New Roman" w:eastAsia="Times New Roman" w:cs="Times New Roman"/>
    </w:rPr>
  </w:style>
  <w:style w:type="character" w:styleId="B1Car">
    <w:name w:val="B1+ Car"/>
    <w:qFormat/>
    <w:rPr>
      <w:rFonts w:ascii="Times New Roman" w:hAnsi="Times New Roman" w:eastAsia="Times New Roman" w:cs="Times New Roman"/>
    </w:rPr>
  </w:style>
  <w:style w:type="character" w:styleId="Hyperlink">
    <w:name w:val="Hyperlink"/>
    <w:rPr>
      <w:color w:val="0000FF"/>
      <w:u w:val="single"/>
    </w:rPr>
  </w:style>
  <w:style w:type="character" w:styleId="CommentReference">
    <w:name w:val="Comment Reference"/>
    <w:qFormat/>
    <w:rPr>
      <w:sz w:val="16"/>
    </w:rPr>
  </w:style>
  <w:style w:type="character" w:styleId="CommentTextChar">
    <w:name w:val="Comment Text Char"/>
    <w:qFormat/>
    <w:rPr>
      <w:rFonts w:ascii="Times New Roman" w:hAnsi="Times New Roman" w:eastAsia="Times New Roman" w:cs="Times New Roman"/>
    </w:rPr>
  </w:style>
  <w:style w:type="character" w:styleId="FollowedHyperlink">
    <w:name w:val="FollowedHyperlink"/>
    <w:rPr>
      <w:color w:val="800080"/>
      <w:u w:val="single"/>
    </w:rPr>
  </w:style>
  <w:style w:type="character" w:styleId="msoins">
    <w:name w:val="msoins"/>
    <w:basedOn w:val="DefaultParagraphFont"/>
    <w:qFormat/>
    <w:rPr/>
  </w:style>
  <w:style w:type="character" w:styleId="CommentSubjectChar">
    <w:name w:val="Comment Subject Char"/>
    <w:qFormat/>
    <w:rPr>
      <w:rFonts w:ascii="Times New Roman" w:hAnsi="Times New Roman" w:eastAsia="Times New Roman" w:cs="Times New Roman"/>
      <w:b/>
      <w:bCs/>
    </w:rPr>
  </w:style>
  <w:style w:type="character" w:styleId="BodyTextChar">
    <w:name w:val="Body Text Char"/>
    <w:qFormat/>
    <w:rPr>
      <w:rFonts w:ascii="Times New Roman" w:hAnsi="Times New Roman" w:eastAsia="Times New Roman" w:cs="Times New Roman"/>
    </w:rPr>
  </w:style>
  <w:style w:type="character" w:styleId="BodyText2Char">
    <w:name w:val="Body Text 2 Char"/>
    <w:qFormat/>
    <w:rPr>
      <w:rFonts w:ascii="Times New Roman" w:hAnsi="Times New Roman" w:eastAsia="Times New Roman" w:cs="Times New Roman"/>
    </w:rPr>
  </w:style>
  <w:style w:type="character" w:styleId="BodyText3Char">
    <w:name w:val="Body Text 3 Char"/>
    <w:qFormat/>
    <w:rPr>
      <w:rFonts w:ascii="Times New Roman" w:hAnsi="Times New Roman" w:eastAsia="Times New Roman" w:cs="Times New Roman"/>
      <w:sz w:val="16"/>
      <w:szCs w:val="16"/>
    </w:rPr>
  </w:style>
  <w:style w:type="character" w:styleId="BodyTextFirstIndentChar">
    <w:name w:val="Body Text First Indent Char"/>
    <w:basedOn w:val="BodyTextChar"/>
    <w:qFormat/>
    <w:rPr/>
  </w:style>
  <w:style w:type="character" w:styleId="BodyTextIndentChar">
    <w:name w:val="Body Text Indent Char"/>
    <w:qFormat/>
    <w:rPr>
      <w:rFonts w:ascii="Times New Roman" w:hAnsi="Times New Roman" w:eastAsia="Times New Roman" w:cs="Times New Roman"/>
    </w:rPr>
  </w:style>
  <w:style w:type="character" w:styleId="BodyTextFirstIndent2Char">
    <w:name w:val="Body Text First Indent 2 Char"/>
    <w:basedOn w:val="BodyTextIndentChar"/>
    <w:qFormat/>
    <w:rPr/>
  </w:style>
  <w:style w:type="character" w:styleId="BodyTextIndent2Char">
    <w:name w:val="Body Text Indent 2 Char"/>
    <w:qFormat/>
    <w:rPr>
      <w:rFonts w:ascii="Times New Roman" w:hAnsi="Times New Roman" w:eastAsia="Times New Roman" w:cs="Times New Roman"/>
    </w:rPr>
  </w:style>
  <w:style w:type="character" w:styleId="BodyTextIndent3Char">
    <w:name w:val="Body Text Indent 3 Char"/>
    <w:qFormat/>
    <w:rPr>
      <w:rFonts w:ascii="Times New Roman" w:hAnsi="Times New Roman" w:eastAsia="Times New Roman" w:cs="Times New Roman"/>
      <w:sz w:val="16"/>
      <w:szCs w:val="16"/>
    </w:rPr>
  </w:style>
  <w:style w:type="character" w:styleId="ClosingChar">
    <w:name w:val="Closing Char"/>
    <w:qFormat/>
    <w:rPr>
      <w:rFonts w:ascii="Times New Roman" w:hAnsi="Times New Roman" w:eastAsia="Times New Roman" w:cs="Times New Roman"/>
    </w:rPr>
  </w:style>
  <w:style w:type="character" w:styleId="DateChar">
    <w:name w:val="Date Char"/>
    <w:qFormat/>
    <w:rPr>
      <w:rFonts w:ascii="Times New Roman" w:hAnsi="Times New Roman" w:eastAsia="Times New Roman" w:cs="Times New Roman"/>
    </w:rPr>
  </w:style>
  <w:style w:type="character" w:styleId="DocumentMapChar">
    <w:name w:val="Document Map Char"/>
    <w:qFormat/>
    <w:rPr>
      <w:rFonts w:ascii="Segoe UI" w:hAnsi="Segoe UI" w:eastAsia="Times New Roman" w:cs="Segoe UI"/>
      <w:sz w:val="16"/>
      <w:szCs w:val="16"/>
    </w:rPr>
  </w:style>
  <w:style w:type="character" w:styleId="E-mailSignatureChar">
    <w:name w:val="E-mail Signature Char"/>
    <w:qFormat/>
    <w:rPr>
      <w:rFonts w:ascii="Times New Roman" w:hAnsi="Times New Roman" w:eastAsia="Times New Roman" w:cs="Times New Roman"/>
    </w:rPr>
  </w:style>
  <w:style w:type="character" w:styleId="EndnoteTextChar">
    <w:name w:val="Endnote Text Char"/>
    <w:qFormat/>
    <w:rPr>
      <w:rFonts w:ascii="Times New Roman" w:hAnsi="Times New Roman" w:eastAsia="Times New Roman" w:cs="Times New Roman"/>
    </w:rPr>
  </w:style>
  <w:style w:type="character" w:styleId="HTMLAddressChar">
    <w:name w:val="HTML Address Char"/>
    <w:qFormat/>
    <w:rPr>
      <w:rFonts w:ascii="Times New Roman" w:hAnsi="Times New Roman" w:eastAsia="Times New Roman" w:cs="Times New Roman"/>
      <w:i/>
      <w:iCs/>
    </w:rPr>
  </w:style>
  <w:style w:type="character" w:styleId="HTMLPreformattedChar">
    <w:name w:val="HTML Preformatted Char"/>
    <w:qFormat/>
    <w:rPr>
      <w:rFonts w:ascii="Courier New" w:hAnsi="Courier New" w:eastAsia="Times New Roman" w:cs="Courier New"/>
    </w:rPr>
  </w:style>
  <w:style w:type="character" w:styleId="IntenseQuoteChar">
    <w:name w:val="Intense Quote Char"/>
    <w:qFormat/>
    <w:rPr>
      <w:rFonts w:ascii="Times New Roman" w:hAnsi="Times New Roman" w:eastAsia="Times New Roman" w:cs="Times New Roman"/>
      <w:i/>
      <w:iCs/>
      <w:color w:val="4472C4"/>
    </w:rPr>
  </w:style>
  <w:style w:type="character" w:styleId="MacroTextChar">
    <w:name w:val="Macro Text Char"/>
    <w:qFormat/>
    <w:rPr>
      <w:rFonts w:ascii="Courier New" w:hAnsi="Courier New" w:eastAsia="Times New Roman" w:cs="Courier New"/>
    </w:rPr>
  </w:style>
  <w:style w:type="character" w:styleId="MessageHeaderChar">
    <w:name w:val="Message Header Char"/>
    <w:qFormat/>
    <w:rPr>
      <w:rFonts w:ascii="Calibri Light" w:hAnsi="Calibri Light" w:eastAsia="Times New Roman" w:cs="Calibri Light"/>
      <w:sz w:val="24"/>
      <w:szCs w:val="24"/>
      <w:shd w:fill="CCCCCC" w:val="clear"/>
    </w:rPr>
  </w:style>
  <w:style w:type="character" w:styleId="NoteHeadingChar">
    <w:name w:val="Note Heading Char"/>
    <w:qFormat/>
    <w:rPr>
      <w:rFonts w:ascii="Times New Roman" w:hAnsi="Times New Roman" w:eastAsia="Times New Roman" w:cs="Times New Roman"/>
    </w:rPr>
  </w:style>
  <w:style w:type="character" w:styleId="PlainTextChar">
    <w:name w:val="Plain Text Char"/>
    <w:qFormat/>
    <w:rPr>
      <w:rFonts w:ascii="Courier New" w:hAnsi="Courier New" w:eastAsia="Times New Roman" w:cs="Courier New"/>
    </w:rPr>
  </w:style>
  <w:style w:type="character" w:styleId="QuoteChar">
    <w:name w:val="Quote Char"/>
    <w:qFormat/>
    <w:rPr>
      <w:rFonts w:ascii="Times New Roman" w:hAnsi="Times New Roman" w:eastAsia="Times New Roman" w:cs="Times New Roman"/>
      <w:i/>
      <w:iCs/>
      <w:color w:val="404040"/>
    </w:rPr>
  </w:style>
  <w:style w:type="character" w:styleId="SalutationChar">
    <w:name w:val="Salutation Char"/>
    <w:qFormat/>
    <w:rPr>
      <w:rFonts w:ascii="Times New Roman" w:hAnsi="Times New Roman" w:eastAsia="Times New Roman" w:cs="Times New Roman"/>
    </w:rPr>
  </w:style>
  <w:style w:type="character" w:styleId="SignatureChar">
    <w:name w:val="Signature Char"/>
    <w:qFormat/>
    <w:rPr>
      <w:rFonts w:ascii="Times New Roman" w:hAnsi="Times New Roman" w:eastAsia="Times New Roman" w:cs="Times New Roman"/>
    </w:rPr>
  </w:style>
  <w:style w:type="character" w:styleId="SubtitleChar">
    <w:name w:val="Subtitle Char"/>
    <w:qFormat/>
    <w:rPr>
      <w:rFonts w:ascii="Calibri Light" w:hAnsi="Calibri Light" w:eastAsia="Times New Roman" w:cs="Calibri Light"/>
      <w:sz w:val="24"/>
      <w:szCs w:val="24"/>
    </w:rPr>
  </w:style>
  <w:style w:type="character" w:styleId="TitleChar">
    <w:name w:val="Title Char"/>
    <w:qFormat/>
    <w:rPr>
      <w:rFonts w:ascii="Calibri Light" w:hAnsi="Calibri Light" w:eastAsia="Times New Roman" w:cs="Calibri Light"/>
      <w:b/>
      <w:bCs/>
      <w:kern w:val="2"/>
      <w:sz w:val="32"/>
      <w:szCs w:val="32"/>
    </w:rPr>
  </w:style>
  <w:style w:type="character" w:styleId="IndexLink">
    <w:name w:val="Index Link"/>
    <w:qFormat/>
    <w:rPr/>
  </w:style>
  <w:style w:type="paragraph" w:styleId="Heading">
    <w:name w:val="Heading"/>
    <w:basedOn w:val="Normal"/>
    <w:next w:val="Normal"/>
    <w:qFormat/>
    <w:pPr>
      <w:spacing w:before="240" w:after="60"/>
      <w:jc w:val="center"/>
      <w:outlineLvl w:val="0"/>
    </w:pPr>
    <w:rPr>
      <w:rFonts w:ascii="Calibri Light" w:hAnsi="Calibri Light" w:cs="Calibri Light"/>
      <w:b/>
      <w:bCs/>
      <w:kern w:val="2"/>
      <w:sz w:val="32"/>
      <w:szCs w:val="32"/>
    </w:rPr>
  </w:style>
  <w:style w:type="paragraph" w:styleId="BodyText">
    <w:name w:val="Body Text"/>
    <w:basedOn w:val="Normal"/>
    <w:pPr>
      <w:spacing w:before="0" w:after="120"/>
    </w:pPr>
    <w:rPr/>
  </w:style>
  <w:style w:type="paragraph" w:styleId="List">
    <w:name w:val="List"/>
    <w:basedOn w:val="Normal"/>
    <w:pPr>
      <w:ind w:hanging="284" w:left="568" w:right="0"/>
    </w:pPr>
    <w:rPr/>
  </w:style>
  <w:style w:type="paragraph" w:styleId="Caption">
    <w:name w:val="Caption"/>
    <w:basedOn w:val="Normal"/>
    <w:next w:val="Normal"/>
    <w:qFormat/>
    <w:pPr/>
    <w:rPr>
      <w:b/>
      <w:bCs/>
    </w:rPr>
  </w:style>
  <w:style w:type="paragraph" w:styleId="Index">
    <w:name w:val="Index"/>
    <w:basedOn w:val="Normal"/>
    <w:qFormat/>
    <w:pPr>
      <w:suppressLineNumbers/>
    </w:pPr>
    <w:rPr/>
  </w:style>
  <w:style w:type="paragraph" w:styleId="H6">
    <w:name w:val="H6"/>
    <w:basedOn w:val="Heading5"/>
    <w:next w:val="Normal"/>
    <w:qFormat/>
    <w:pPr>
      <w:numPr>
        <w:ilvl w:val="0"/>
        <w:numId w:val="0"/>
      </w:numPr>
      <w:ind w:hanging="1985" w:left="1985" w:right="0"/>
      <w:outlineLvl w:val="9"/>
    </w:pPr>
    <w:rPr>
      <w:sz w:val="20"/>
    </w:rPr>
  </w:style>
  <w:style w:type="paragraph" w:styleId="TOC1">
    <w:name w:val="TOC 1"/>
    <w:pPr>
      <w:keepLines/>
      <w:widowControl w:val="false"/>
      <w:tabs>
        <w:tab w:val="clear" w:pos="284"/>
        <w:tab w:val="right" w:pos="9639" w:leader="dot"/>
      </w:tabs>
      <w:overflowPunct w:val="false"/>
      <w:autoSpaceDE w:val="false"/>
      <w:bidi w:val="0"/>
      <w:spacing w:before="120" w:after="0"/>
      <w:ind w:hanging="567" w:left="567" w:right="425"/>
      <w:textAlignment w:val="baseline"/>
    </w:pPr>
    <w:rPr>
      <w:rFonts w:ascii="Times New Roman" w:hAnsi="Times New Roman" w:eastAsia="Times New Roman" w:cs="Times New Roman"/>
      <w:color w:val="auto"/>
      <w:sz w:val="22"/>
      <w:szCs w:val="20"/>
      <w:lang w:val="en-GB" w:bidi="ar-SA" w:eastAsia="zh-CN"/>
    </w:rPr>
  </w:style>
  <w:style w:type="paragraph" w:styleId="TOC8">
    <w:name w:val="TOC 8"/>
    <w:basedOn w:val="TOC1"/>
    <w:pPr>
      <w:spacing w:before="180" w:after="0"/>
      <w:ind w:hanging="2693" w:left="2693" w:right="425"/>
    </w:pPr>
    <w:rPr>
      <w:b/>
    </w:rPr>
  </w:style>
  <w:style w:type="paragraph" w:styleId="ZT">
    <w:name w:val="ZT"/>
    <w:qFormat/>
    <w:pPr>
      <w:widowControl w:val="false"/>
      <w:overflowPunct w:val="false"/>
      <w:autoSpaceDE w:val="false"/>
      <w:bidi w:val="0"/>
      <w:spacing w:lineRule="atLeast" w:line="240"/>
      <w:jc w:val="right"/>
      <w:textAlignment w:val="baseline"/>
    </w:pPr>
    <w:rPr>
      <w:rFonts w:ascii="Arial" w:hAnsi="Arial" w:eastAsia="Times New Roman" w:cs="Arial"/>
      <w:b/>
      <w:color w:val="auto"/>
      <w:sz w:val="34"/>
      <w:szCs w:val="20"/>
      <w:lang w:val="en-GB" w:bidi="ar-SA" w:eastAsia="zh-CN"/>
    </w:rPr>
  </w:style>
  <w:style w:type="paragraph" w:styleId="TOC2">
    <w:name w:val="TOC 2"/>
    <w:basedOn w:val="TOC1"/>
    <w:pPr>
      <w:spacing w:before="0" w:after="0"/>
      <w:ind w:hanging="851" w:left="851" w:right="425"/>
    </w:pPr>
    <w:rPr>
      <w:sz w:val="20"/>
    </w:rPr>
  </w:style>
  <w:style w:type="paragraph" w:styleId="TOC3">
    <w:name w:val="TOC 3"/>
    <w:basedOn w:val="TOC2"/>
    <w:pPr>
      <w:ind w:hanging="1134" w:left="1134" w:right="425"/>
    </w:pPr>
    <w:rPr/>
  </w:style>
  <w:style w:type="paragraph" w:styleId="TOC4">
    <w:name w:val="TOC 4"/>
    <w:basedOn w:val="TOC3"/>
    <w:pPr>
      <w:ind w:hanging="1418" w:left="1418" w:right="425"/>
    </w:pPr>
    <w:rPr/>
  </w:style>
  <w:style w:type="paragraph" w:styleId="TOC5">
    <w:name w:val="TOC 5"/>
    <w:basedOn w:val="TOC4"/>
    <w:pPr>
      <w:ind w:hanging="1701" w:left="1701" w:right="425"/>
    </w:pPr>
    <w:rPr/>
  </w:style>
  <w:style w:type="paragraph" w:styleId="Index1">
    <w:name w:val="Index 1"/>
    <w:basedOn w:val="Normal"/>
    <w:pPr>
      <w:keepLines/>
    </w:pPr>
    <w:rPr/>
  </w:style>
  <w:style w:type="paragraph" w:styleId="Index2">
    <w:name w:val="Index 2"/>
    <w:basedOn w:val="Index1"/>
    <w:pPr>
      <w:ind w:hanging="0" w:left="284" w:right="0"/>
    </w:pPr>
    <w:rPr/>
  </w:style>
  <w:style w:type="paragraph" w:styleId="ZH">
    <w:name w:val="ZH"/>
    <w:qFormat/>
    <w:pPr>
      <w:widowControl w:val="false"/>
      <w:overflowPunct w:val="false"/>
      <w:autoSpaceDE w:val="false"/>
      <w:bidi w:val="0"/>
      <w:textAlignment w:val="baseline"/>
    </w:pPr>
    <w:rPr>
      <w:rFonts w:ascii="Arial" w:hAnsi="Arial" w:eastAsia="Times New Roman" w:cs="Arial"/>
      <w:color w:val="auto"/>
      <w:sz w:val="20"/>
      <w:szCs w:val="20"/>
      <w:lang w:val="en-GB" w:eastAsia="en-US" w:bidi="ar-SA"/>
    </w:rPr>
  </w:style>
  <w:style w:type="paragraph" w:styleId="TT">
    <w:name w:val="TT"/>
    <w:basedOn w:val="Heading1"/>
    <w:next w:val="Normal"/>
    <w:qFormat/>
    <w:pPr>
      <w:numPr>
        <w:ilvl w:val="0"/>
        <w:numId w:val="0"/>
      </w:numPr>
      <w:ind w:hanging="1134" w:left="1134"/>
      <w:outlineLvl w:val="9"/>
    </w:pPr>
    <w:rPr/>
  </w:style>
  <w:style w:type="paragraph" w:styleId="ListNumber">
    <w:name w:val="List Number"/>
    <w:basedOn w:val="List"/>
    <w:qFormat/>
    <w:pPr>
      <w:numPr>
        <w:ilvl w:val="0"/>
        <w:numId w:val="6"/>
      </w:numPr>
    </w:pPr>
    <w:rPr/>
  </w:style>
  <w:style w:type="paragraph" w:styleId="ListNumber2">
    <w:name w:val="List Number 2"/>
    <w:basedOn w:val="ListNumber"/>
    <w:qFormat/>
    <w:pPr>
      <w:numPr>
        <w:ilvl w:val="0"/>
        <w:numId w:val="7"/>
      </w:numPr>
      <w:ind w:hanging="284" w:left="851" w:right="0"/>
    </w:pPr>
    <w:rPr/>
  </w:style>
  <w:style w:type="paragraph" w:styleId="HeaderandFooter">
    <w:name w:val="Header and Footer"/>
    <w:basedOn w:val="Normal"/>
    <w:qFormat/>
    <w:pPr>
      <w:suppressLineNumbers/>
      <w:tabs>
        <w:tab w:val="clear" w:pos="284"/>
        <w:tab w:val="center" w:pos="4819" w:leader="none"/>
        <w:tab w:val="right" w:pos="9638" w:leader="none"/>
      </w:tabs>
    </w:pPr>
    <w:rPr/>
  </w:style>
  <w:style w:type="paragraph" w:styleId="Header">
    <w:name w:val="Header"/>
    <w:pPr>
      <w:widowControl w:val="false"/>
      <w:overflowPunct w:val="false"/>
      <w:autoSpaceDE w:val="false"/>
      <w:bidi w:val="0"/>
      <w:textAlignment w:val="baseline"/>
    </w:pPr>
    <w:rPr>
      <w:rFonts w:ascii="Arial" w:hAnsi="Arial" w:eastAsia="Times New Roman" w:cs="Arial"/>
      <w:b/>
      <w:color w:val="auto"/>
      <w:sz w:val="18"/>
      <w:szCs w:val="20"/>
      <w:lang w:val="en-GB" w:bidi="ar-SA" w:eastAsia="zh-CN"/>
    </w:rPr>
  </w:style>
  <w:style w:type="paragraph" w:styleId="FootnoteText">
    <w:name w:val="Footnote Text"/>
    <w:basedOn w:val="Normal"/>
    <w:pPr>
      <w:keepLines/>
      <w:ind w:hanging="454" w:left="454" w:right="0"/>
    </w:pPr>
    <w:rPr>
      <w:sz w:val="16"/>
    </w:rPr>
  </w:style>
  <w:style w:type="paragraph" w:styleId="TAL">
    <w:name w:val="TAL"/>
    <w:basedOn w:val="Normal"/>
    <w:qFormat/>
    <w:pPr>
      <w:keepNext w:val="true"/>
      <w:keepLines/>
      <w:spacing w:before="0" w:after="0"/>
    </w:pPr>
    <w:rPr>
      <w:rFonts w:ascii="Arial" w:hAnsi="Arial" w:cs="Arial"/>
      <w:sz w:val="18"/>
    </w:rPr>
  </w:style>
  <w:style w:type="paragraph" w:styleId="TAC">
    <w:name w:val="TAC"/>
    <w:basedOn w:val="TAL"/>
    <w:qFormat/>
    <w:pPr>
      <w:jc w:val="center"/>
    </w:pPr>
    <w:rPr/>
  </w:style>
  <w:style w:type="paragraph" w:styleId="TAH">
    <w:name w:val="TAH"/>
    <w:basedOn w:val="TAC"/>
    <w:qFormat/>
    <w:pPr/>
    <w:rPr>
      <w:b/>
    </w:rPr>
  </w:style>
  <w:style w:type="paragraph" w:styleId="TH">
    <w:name w:val="TH"/>
    <w:basedOn w:val="Normal"/>
    <w:qFormat/>
    <w:pPr>
      <w:keepNext w:val="true"/>
      <w:keepLines/>
      <w:spacing w:before="60" w:after="180"/>
      <w:jc w:val="center"/>
    </w:pPr>
    <w:rPr>
      <w:rFonts w:ascii="Arial" w:hAnsi="Arial" w:cs="Arial"/>
      <w:b/>
    </w:rPr>
  </w:style>
  <w:style w:type="paragraph" w:styleId="TF">
    <w:name w:val="TF"/>
    <w:basedOn w:val="TH"/>
    <w:qFormat/>
    <w:pPr>
      <w:keepNext w:val="false"/>
      <w:spacing w:before="0" w:after="240"/>
    </w:pPr>
    <w:rPr/>
  </w:style>
  <w:style w:type="paragraph" w:styleId="NO">
    <w:name w:val="NO"/>
    <w:basedOn w:val="Normal"/>
    <w:qFormat/>
    <w:pPr>
      <w:keepLines/>
      <w:ind w:hanging="851" w:left="1135" w:right="0"/>
    </w:pPr>
    <w:rPr/>
  </w:style>
  <w:style w:type="paragraph" w:styleId="TOC9">
    <w:name w:val="TOC 9"/>
    <w:basedOn w:val="TOC8"/>
    <w:pPr>
      <w:ind w:hanging="1418" w:left="1418" w:right="425"/>
    </w:pPr>
    <w:rPr/>
  </w:style>
  <w:style w:type="paragraph" w:styleId="EX">
    <w:name w:val="EX"/>
    <w:basedOn w:val="Normal"/>
    <w:qFormat/>
    <w:pPr>
      <w:keepLines/>
      <w:ind w:hanging="1418" w:left="1702" w:right="0"/>
    </w:pPr>
    <w:rPr/>
  </w:style>
  <w:style w:type="paragraph" w:styleId="FP">
    <w:name w:val="FP"/>
    <w:basedOn w:val="Normal"/>
    <w:qFormat/>
    <w:pPr>
      <w:spacing w:before="0" w:after="0"/>
    </w:pPr>
    <w:rPr/>
  </w:style>
  <w:style w:type="paragraph" w:styleId="LD">
    <w:name w:val="LD"/>
    <w:qFormat/>
    <w:pPr>
      <w:keepNext w:val="true"/>
      <w:keepLines/>
      <w:widowControl/>
      <w:overflowPunct w:val="false"/>
      <w:autoSpaceDE w:val="false"/>
      <w:bidi w:val="0"/>
      <w:spacing w:lineRule="exact" w:line="180"/>
      <w:textAlignment w:val="baseline"/>
    </w:pPr>
    <w:rPr>
      <w:rFonts w:ascii="Courier New" w:hAnsi="Courier New" w:eastAsia="Times New Roman" w:cs="Courier New"/>
      <w:color w:val="auto"/>
      <w:sz w:val="20"/>
      <w:szCs w:val="20"/>
      <w:lang w:val="en-GB" w:bidi="ar-SA" w:eastAsia="zh-CN"/>
    </w:rPr>
  </w:style>
  <w:style w:type="paragraph" w:styleId="NW">
    <w:name w:val="NW"/>
    <w:basedOn w:val="NO"/>
    <w:qFormat/>
    <w:pPr>
      <w:spacing w:before="0" w:after="0"/>
    </w:pPr>
    <w:rPr/>
  </w:style>
  <w:style w:type="paragraph" w:styleId="EW">
    <w:name w:val="EW"/>
    <w:basedOn w:val="EX"/>
    <w:qFormat/>
    <w:pPr>
      <w:spacing w:before="0" w:after="0"/>
    </w:pPr>
    <w:rPr/>
  </w:style>
  <w:style w:type="paragraph" w:styleId="TOC6">
    <w:name w:val="TOC 6"/>
    <w:basedOn w:val="TOC5"/>
    <w:next w:val="Normal"/>
    <w:pPr>
      <w:ind w:hanging="1985" w:left="1985" w:right="425"/>
    </w:pPr>
    <w:rPr/>
  </w:style>
  <w:style w:type="paragraph" w:styleId="TOC7">
    <w:name w:val="TOC 7"/>
    <w:basedOn w:val="TOC6"/>
    <w:next w:val="Normal"/>
    <w:pPr>
      <w:ind w:hanging="2268" w:left="2268" w:right="425"/>
    </w:pPr>
    <w:rPr/>
  </w:style>
  <w:style w:type="paragraph" w:styleId="ListBullet">
    <w:name w:val="List Bullet"/>
    <w:basedOn w:val="List"/>
    <w:qFormat/>
    <w:pPr>
      <w:numPr>
        <w:ilvl w:val="0"/>
        <w:numId w:val="8"/>
      </w:numPr>
    </w:pPr>
    <w:rPr/>
  </w:style>
  <w:style w:type="paragraph" w:styleId="ListBullet21">
    <w:name w:val="List Bullet 21"/>
    <w:basedOn w:val="ListBullet"/>
    <w:qFormat/>
    <w:pPr>
      <w:numPr>
        <w:ilvl w:val="0"/>
        <w:numId w:val="9"/>
      </w:numPr>
      <w:ind w:hanging="284" w:left="851" w:right="0"/>
    </w:pPr>
    <w:rPr/>
  </w:style>
  <w:style w:type="paragraph" w:styleId="ListBullet31">
    <w:name w:val="List Bullet 31"/>
    <w:basedOn w:val="ListBullet21"/>
    <w:qFormat/>
    <w:pPr>
      <w:ind w:hanging="284" w:left="1135" w:right="0"/>
    </w:pPr>
    <w:rPr/>
  </w:style>
  <w:style w:type="paragraph" w:styleId="EQ">
    <w:name w:val="EQ"/>
    <w:basedOn w:val="Normal"/>
    <w:next w:val="Normal"/>
    <w:qFormat/>
    <w:pPr>
      <w:keepLines/>
      <w:tabs>
        <w:tab w:val="clear" w:pos="284"/>
        <w:tab w:val="center" w:pos="4536" w:leader="none"/>
        <w:tab w:val="right" w:pos="9072" w:leader="none"/>
      </w:tabs>
    </w:pPr>
    <w:rPr/>
  </w:style>
  <w:style w:type="paragraph" w:styleId="NF">
    <w:name w:val="NF"/>
    <w:basedOn w:val="NO"/>
    <w:qFormat/>
    <w:pPr>
      <w:keepNext w:val="true"/>
      <w:spacing w:before="0" w:after="0"/>
    </w:pPr>
    <w:rPr>
      <w:rFonts w:ascii="Arial" w:hAnsi="Arial" w:cs="Arial"/>
      <w:sz w:val="18"/>
    </w:rPr>
  </w:style>
  <w:style w:type="paragraph" w:styleId="PL">
    <w:name w:val="PL"/>
    <w:qFormat/>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overflowPunct w:val="false"/>
      <w:autoSpaceDE w:val="false"/>
      <w:bidi w:val="0"/>
      <w:textAlignment w:val="baseline"/>
    </w:pPr>
    <w:rPr>
      <w:rFonts w:ascii="Courier New" w:hAnsi="Courier New" w:eastAsia="Times New Roman" w:cs="Courier New"/>
      <w:color w:val="auto"/>
      <w:sz w:val="16"/>
      <w:szCs w:val="20"/>
      <w:lang w:val="en-GB" w:bidi="ar-SA" w:eastAsia="zh-CN"/>
    </w:rPr>
  </w:style>
  <w:style w:type="paragraph" w:styleId="TAR">
    <w:name w:val="TAR"/>
    <w:basedOn w:val="TAL"/>
    <w:qFormat/>
    <w:pPr>
      <w:jc w:val="right"/>
    </w:pPr>
    <w:rPr/>
  </w:style>
  <w:style w:type="paragraph" w:styleId="TAN">
    <w:name w:val="TAN"/>
    <w:basedOn w:val="TAL"/>
    <w:qFormat/>
    <w:pPr>
      <w:ind w:hanging="851" w:left="851" w:right="0"/>
    </w:pPr>
    <w:rPr/>
  </w:style>
  <w:style w:type="paragraph" w:styleId="ZA">
    <w:name w:val="ZA"/>
    <w:qFormat/>
    <w:pPr>
      <w:widowControl w:val="false"/>
      <w:pBdr>
        <w:bottom w:val="single" w:sz="12" w:space="1" w:color="000000"/>
      </w:pBdr>
      <w:overflowPunct w:val="false"/>
      <w:autoSpaceDE w:val="false"/>
      <w:bidi w:val="0"/>
      <w:jc w:val="right"/>
      <w:textAlignment w:val="baseline"/>
    </w:pPr>
    <w:rPr>
      <w:rFonts w:ascii="Arial" w:hAnsi="Arial" w:eastAsia="Times New Roman" w:cs="Arial"/>
      <w:color w:val="auto"/>
      <w:sz w:val="40"/>
      <w:szCs w:val="20"/>
      <w:lang w:val="en-GB" w:eastAsia="en-US" w:bidi="ar-SA"/>
    </w:rPr>
  </w:style>
  <w:style w:type="paragraph" w:styleId="ZB">
    <w:name w:val="ZB"/>
    <w:qFormat/>
    <w:pPr>
      <w:widowControl w:val="false"/>
      <w:overflowPunct w:val="false"/>
      <w:autoSpaceDE w:val="false"/>
      <w:bidi w:val="0"/>
      <w:ind w:hanging="0" w:left="0" w:right="28"/>
      <w:jc w:val="right"/>
      <w:textAlignment w:val="baseline"/>
    </w:pPr>
    <w:rPr>
      <w:rFonts w:ascii="Arial" w:hAnsi="Arial" w:eastAsia="Times New Roman" w:cs="Arial"/>
      <w:i/>
      <w:color w:val="auto"/>
      <w:sz w:val="20"/>
      <w:szCs w:val="20"/>
      <w:lang w:val="en-GB" w:eastAsia="en-US" w:bidi="ar-SA"/>
    </w:rPr>
  </w:style>
  <w:style w:type="paragraph" w:styleId="ZD">
    <w:name w:val="ZD"/>
    <w:qFormat/>
    <w:pPr>
      <w:widowControl w:val="false"/>
      <w:overflowPunct w:val="false"/>
      <w:autoSpaceDE w:val="false"/>
      <w:bidi w:val="0"/>
      <w:textAlignment w:val="baseline"/>
    </w:pPr>
    <w:rPr>
      <w:rFonts w:ascii="Arial" w:hAnsi="Arial" w:eastAsia="Times New Roman" w:cs="Arial"/>
      <w:color w:val="auto"/>
      <w:sz w:val="32"/>
      <w:szCs w:val="20"/>
      <w:lang w:val="en-GB" w:eastAsia="en-US" w:bidi="ar-SA"/>
    </w:rPr>
  </w:style>
  <w:style w:type="paragraph" w:styleId="ZU">
    <w:name w:val="ZU"/>
    <w:qFormat/>
    <w:pPr>
      <w:widowControl w:val="false"/>
      <w:pBdr>
        <w:top w:val="single" w:sz="12" w:space="1" w:color="000000"/>
      </w:pBdr>
      <w:overflowPunct w:val="false"/>
      <w:autoSpaceDE w:val="false"/>
      <w:bidi w:val="0"/>
      <w:jc w:val="right"/>
      <w:textAlignment w:val="baseline"/>
    </w:pPr>
    <w:rPr>
      <w:rFonts w:ascii="Arial" w:hAnsi="Arial" w:eastAsia="Times New Roman" w:cs="Arial"/>
      <w:color w:val="auto"/>
      <w:sz w:val="20"/>
      <w:szCs w:val="20"/>
      <w:lang w:val="en-GB" w:eastAsia="en-US" w:bidi="ar-SA"/>
    </w:rPr>
  </w:style>
  <w:style w:type="paragraph" w:styleId="ZV">
    <w:name w:val="ZV"/>
    <w:basedOn w:val="ZU"/>
    <w:qFormat/>
    <w:pPr/>
    <w:rPr/>
  </w:style>
  <w:style w:type="paragraph" w:styleId="ListBullet2">
    <w:name w:val="List Bullet 2"/>
    <w:basedOn w:val="List"/>
    <w:pPr>
      <w:ind w:hanging="284" w:left="851" w:right="0"/>
    </w:pPr>
    <w:rPr/>
  </w:style>
  <w:style w:type="paragraph" w:styleId="ZG">
    <w:name w:val="ZG"/>
    <w:qFormat/>
    <w:pPr>
      <w:widowControl w:val="false"/>
      <w:overflowPunct w:val="false"/>
      <w:autoSpaceDE w:val="false"/>
      <w:bidi w:val="0"/>
      <w:jc w:val="right"/>
      <w:textAlignment w:val="baseline"/>
    </w:pPr>
    <w:rPr>
      <w:rFonts w:ascii="Arial" w:hAnsi="Arial" w:eastAsia="Times New Roman" w:cs="Arial"/>
      <w:color w:val="auto"/>
      <w:sz w:val="20"/>
      <w:szCs w:val="20"/>
      <w:lang w:val="en-GB" w:eastAsia="en-US" w:bidi="ar-SA"/>
    </w:rPr>
  </w:style>
  <w:style w:type="paragraph" w:styleId="ListBullet3">
    <w:name w:val="List Bullet 3"/>
    <w:basedOn w:val="ListBullet2"/>
    <w:pPr>
      <w:ind w:hanging="284" w:left="1135" w:right="0"/>
    </w:pPr>
    <w:rPr/>
  </w:style>
  <w:style w:type="paragraph" w:styleId="ListBullet4">
    <w:name w:val="List Bullet 4"/>
    <w:basedOn w:val="ListBullet3"/>
    <w:pPr>
      <w:ind w:hanging="284" w:left="1418" w:right="0"/>
    </w:pPr>
    <w:rPr/>
  </w:style>
  <w:style w:type="paragraph" w:styleId="ListBullet5">
    <w:name w:val="List Bullet 5"/>
    <w:basedOn w:val="ListBullet4"/>
    <w:pPr>
      <w:ind w:hanging="284" w:left="1702" w:right="0"/>
    </w:pPr>
    <w:rPr/>
  </w:style>
  <w:style w:type="paragraph" w:styleId="EditorsNote">
    <w:name w:val="Editor's Note"/>
    <w:basedOn w:val="NO"/>
    <w:qFormat/>
    <w:pPr/>
    <w:rPr>
      <w:color w:val="FF0000"/>
    </w:rPr>
  </w:style>
  <w:style w:type="paragraph" w:styleId="ListBullet41">
    <w:name w:val="List Bullet 41"/>
    <w:basedOn w:val="ListBullet31"/>
    <w:qFormat/>
    <w:pPr>
      <w:ind w:hanging="284" w:left="1418" w:right="0"/>
    </w:pPr>
    <w:rPr/>
  </w:style>
  <w:style w:type="paragraph" w:styleId="ListBullet51">
    <w:name w:val="List Bullet 51"/>
    <w:basedOn w:val="ListBullet41"/>
    <w:qFormat/>
    <w:pPr>
      <w:ind w:hanging="284" w:left="1702" w:right="0"/>
    </w:pPr>
    <w:rPr/>
  </w:style>
  <w:style w:type="paragraph" w:styleId="B1">
    <w:name w:val="B1"/>
    <w:basedOn w:val="List"/>
    <w:qFormat/>
    <w:pPr/>
    <w:rPr/>
  </w:style>
  <w:style w:type="paragraph" w:styleId="B2">
    <w:name w:val="B2"/>
    <w:basedOn w:val="ListBullet2"/>
    <w:qFormat/>
    <w:pPr/>
    <w:rPr/>
  </w:style>
  <w:style w:type="paragraph" w:styleId="B3">
    <w:name w:val="B3"/>
    <w:basedOn w:val="ListBullet3"/>
    <w:qFormat/>
    <w:pPr/>
    <w:rPr/>
  </w:style>
  <w:style w:type="paragraph" w:styleId="B4">
    <w:name w:val="B4"/>
    <w:basedOn w:val="ListBullet4"/>
    <w:qFormat/>
    <w:pPr/>
    <w:rPr/>
  </w:style>
  <w:style w:type="paragraph" w:styleId="B5">
    <w:name w:val="B5"/>
    <w:basedOn w:val="ListBullet5"/>
    <w:qFormat/>
    <w:pPr/>
    <w:rPr/>
  </w:style>
  <w:style w:type="paragraph" w:styleId="Footer">
    <w:name w:val="Footer"/>
    <w:basedOn w:val="Header"/>
    <w:pPr>
      <w:jc w:val="center"/>
    </w:pPr>
    <w:rPr>
      <w:i/>
    </w:rPr>
  </w:style>
  <w:style w:type="paragraph" w:styleId="ZTD">
    <w:name w:val="ZTD"/>
    <w:basedOn w:val="ZB"/>
    <w:qFormat/>
    <w:pPr/>
    <w:rPr>
      <w:i w:val="false"/>
      <w:sz w:val="40"/>
    </w:rPr>
  </w:style>
  <w:style w:type="paragraph" w:styleId="B11">
    <w:name w:val="B1+"/>
    <w:basedOn w:val="Normal"/>
    <w:qFormat/>
    <w:pPr>
      <w:numPr>
        <w:ilvl w:val="0"/>
        <w:numId w:val="5"/>
      </w:numPr>
    </w:pPr>
    <w:rPr/>
  </w:style>
  <w:style w:type="paragraph" w:styleId="CommentText">
    <w:name w:val="Comment Text"/>
    <w:basedOn w:val="Normal"/>
    <w:qFormat/>
    <w:pPr/>
    <w:rPr/>
  </w:style>
  <w:style w:type="paragraph" w:styleId="BalloonText">
    <w:name w:val="Balloon Text"/>
    <w:basedOn w:val="Normal"/>
    <w:qFormat/>
    <w:pPr/>
    <w:rPr>
      <w:rFonts w:ascii="Tahoma" w:hAnsi="Tahoma" w:cs="Tahoma"/>
      <w:sz w:val="16"/>
      <w:szCs w:val="16"/>
    </w:rPr>
  </w:style>
  <w:style w:type="paragraph" w:styleId="CommentSubject">
    <w:name w:val="Comment Subject"/>
    <w:basedOn w:val="CommentText"/>
    <w:next w:val="CommentText"/>
    <w:qFormat/>
    <w:pPr/>
    <w:rPr>
      <w:b/>
      <w:bCs/>
    </w:rPr>
  </w:style>
  <w:style w:type="paragraph" w:styleId="FL">
    <w:name w:val="FL"/>
    <w:basedOn w:val="Normal"/>
    <w:qFormat/>
    <w:pPr>
      <w:keepNext w:val="true"/>
      <w:keepLines/>
      <w:spacing w:before="60" w:after="180"/>
      <w:jc w:val="center"/>
    </w:pPr>
    <w:rPr>
      <w:rFonts w:ascii="Arial" w:hAnsi="Arial" w:cs="Arial"/>
      <w:b/>
    </w:rPr>
  </w:style>
  <w:style w:type="paragraph" w:styleId="Revision">
    <w:name w:val="Revision"/>
    <w:qFormat/>
    <w:pPr>
      <w:widowControl/>
      <w:bidi w:val="0"/>
    </w:pPr>
    <w:rPr>
      <w:rFonts w:ascii="Times New Roman" w:hAnsi="Times New Roman" w:eastAsia="Times New Roman" w:cs="Times New Roman"/>
      <w:color w:val="auto"/>
      <w:sz w:val="20"/>
      <w:szCs w:val="20"/>
      <w:lang w:val="en-GB" w:bidi="ar-SA" w:eastAsia="zh-CN"/>
    </w:rPr>
  </w:style>
  <w:style w:type="paragraph" w:styleId="Bibliography">
    <w:name w:val="Bibliography"/>
    <w:basedOn w:val="Normal"/>
    <w:next w:val="Normal"/>
    <w:qFormat/>
    <w:pPr/>
    <w:rPr/>
  </w:style>
  <w:style w:type="paragraph" w:styleId="BlockText">
    <w:name w:val="Block Text"/>
    <w:basedOn w:val="Normal"/>
    <w:qFormat/>
    <w:pPr>
      <w:spacing w:before="0" w:after="120"/>
      <w:ind w:hanging="0" w:left="1440" w:right="1440"/>
    </w:pPr>
    <w:rPr/>
  </w:style>
  <w:style w:type="paragraph" w:styleId="BodyText2">
    <w:name w:val="Body Text 2"/>
    <w:basedOn w:val="Normal"/>
    <w:qFormat/>
    <w:pPr>
      <w:spacing w:lineRule="auto" w:line="480" w:before="0" w:after="120"/>
    </w:pPr>
    <w:rPr/>
  </w:style>
  <w:style w:type="paragraph" w:styleId="BodyText3">
    <w:name w:val="Body Text 3"/>
    <w:basedOn w:val="Normal"/>
    <w:qFormat/>
    <w:pPr>
      <w:spacing w:before="0" w:after="120"/>
    </w:pPr>
    <w:rPr>
      <w:sz w:val="16"/>
      <w:szCs w:val="16"/>
    </w:rPr>
  </w:style>
  <w:style w:type="paragraph" w:styleId="BodyTextFirstIndent">
    <w:name w:val="Body Text First Indent"/>
    <w:basedOn w:val="BodyText"/>
    <w:qFormat/>
    <w:pPr>
      <w:ind w:firstLine="210" w:left="0" w:right="0"/>
    </w:pPr>
    <w:rPr/>
  </w:style>
  <w:style w:type="paragraph" w:styleId="BodyTextIndent">
    <w:name w:val="Body Text Indent"/>
    <w:basedOn w:val="Normal"/>
    <w:pPr>
      <w:spacing w:before="0" w:after="120"/>
      <w:ind w:hanging="0" w:left="283" w:right="0"/>
    </w:pPr>
    <w:rPr/>
  </w:style>
  <w:style w:type="paragraph" w:styleId="BodyTextFirstIndent2">
    <w:name w:val="Body Text First Indent 2"/>
    <w:basedOn w:val="BodyTextIndent"/>
    <w:qFormat/>
    <w:pPr>
      <w:ind w:firstLine="210" w:left="283" w:right="0"/>
    </w:pPr>
    <w:rPr/>
  </w:style>
  <w:style w:type="paragraph" w:styleId="BodyTextIndent2">
    <w:name w:val="Body Text Indent 2"/>
    <w:basedOn w:val="Normal"/>
    <w:qFormat/>
    <w:pPr>
      <w:spacing w:lineRule="auto" w:line="480" w:before="0" w:after="120"/>
      <w:ind w:hanging="0" w:left="283" w:right="0"/>
    </w:pPr>
    <w:rPr/>
  </w:style>
  <w:style w:type="paragraph" w:styleId="BodyTextIndent3">
    <w:name w:val="Body Text Indent 3"/>
    <w:basedOn w:val="Normal"/>
    <w:qFormat/>
    <w:pPr>
      <w:spacing w:before="0" w:after="120"/>
      <w:ind w:hanging="0" w:left="283" w:right="0"/>
    </w:pPr>
    <w:rPr>
      <w:sz w:val="16"/>
      <w:szCs w:val="16"/>
    </w:rPr>
  </w:style>
  <w:style w:type="paragraph" w:styleId="Closing">
    <w:name w:val="Closing"/>
    <w:basedOn w:val="Normal"/>
    <w:qFormat/>
    <w:pPr>
      <w:ind w:hanging="0" w:left="4252" w:right="0"/>
    </w:pPr>
    <w:rPr/>
  </w:style>
  <w:style w:type="paragraph" w:styleId="Date">
    <w:name w:val="Date"/>
    <w:basedOn w:val="Normal"/>
    <w:next w:val="Normal"/>
    <w:qFormat/>
    <w:pPr/>
    <w:rPr/>
  </w:style>
  <w:style w:type="paragraph" w:styleId="DocumentMap">
    <w:name w:val="Document Map"/>
    <w:basedOn w:val="Normal"/>
    <w:qFormat/>
    <w:pPr/>
    <w:rPr>
      <w:rFonts w:ascii="Segoe UI" w:hAnsi="Segoe UI" w:cs="Segoe UI"/>
      <w:sz w:val="16"/>
      <w:szCs w:val="16"/>
    </w:rPr>
  </w:style>
  <w:style w:type="paragraph" w:styleId="E-mailSignature">
    <w:name w:val="E-mail Signature"/>
    <w:basedOn w:val="Normal"/>
    <w:qFormat/>
    <w:pPr/>
    <w:rPr/>
  </w:style>
  <w:style w:type="paragraph" w:styleId="EndnoteText">
    <w:name w:val="Endnote Text"/>
    <w:basedOn w:val="Normal"/>
    <w:pPr/>
    <w:rPr/>
  </w:style>
  <w:style w:type="paragraph" w:styleId="EnvelopeAddress">
    <w:name w:val="Envelope Address"/>
    <w:basedOn w:val="Normal"/>
    <w:pPr>
      <w:ind w:hanging="0" w:left="2880" w:right="0"/>
    </w:pPr>
    <w:rPr>
      <w:rFonts w:ascii="Calibri Light" w:hAnsi="Calibri Light" w:cs="Calibri Light"/>
      <w:sz w:val="24"/>
      <w:szCs w:val="24"/>
    </w:rPr>
  </w:style>
  <w:style w:type="paragraph" w:styleId="EnvelopeReturn">
    <w:name w:val="Envelope Return"/>
    <w:basedOn w:val="Normal"/>
    <w:pPr/>
    <w:rPr>
      <w:rFonts w:ascii="Calibri Light" w:hAnsi="Calibri Light" w:cs="Calibri Light"/>
    </w:rPr>
  </w:style>
  <w:style w:type="paragraph" w:styleId="HTMLAddress">
    <w:name w:val="HTML Address"/>
    <w:basedOn w:val="Normal"/>
    <w:qFormat/>
    <w:pPr/>
    <w:rPr>
      <w:i/>
      <w:iCs/>
    </w:rPr>
  </w:style>
  <w:style w:type="paragraph" w:styleId="HTMLPreformatted">
    <w:name w:val="HTML Preformatted"/>
    <w:basedOn w:val="Normal"/>
    <w:qFormat/>
    <w:pPr/>
    <w:rPr>
      <w:rFonts w:ascii="Courier New" w:hAnsi="Courier New" w:cs="Courier New"/>
    </w:rPr>
  </w:style>
  <w:style w:type="paragraph" w:styleId="Index3">
    <w:name w:val="Index 3"/>
    <w:basedOn w:val="Normal"/>
    <w:next w:val="Normal"/>
    <w:pPr>
      <w:ind w:hanging="200" w:left="600" w:right="0"/>
    </w:pPr>
    <w:rPr/>
  </w:style>
  <w:style w:type="paragraph" w:styleId="Index4">
    <w:name w:val="Index 4"/>
    <w:basedOn w:val="Normal"/>
    <w:next w:val="Normal"/>
    <w:qFormat/>
    <w:pPr>
      <w:ind w:hanging="200" w:left="800" w:right="0"/>
    </w:pPr>
    <w:rPr/>
  </w:style>
  <w:style w:type="paragraph" w:styleId="Index5">
    <w:name w:val="Index 5"/>
    <w:basedOn w:val="Normal"/>
    <w:next w:val="Normal"/>
    <w:qFormat/>
    <w:pPr>
      <w:ind w:hanging="200" w:left="1000" w:right="0"/>
    </w:pPr>
    <w:rPr/>
  </w:style>
  <w:style w:type="paragraph" w:styleId="Index6">
    <w:name w:val="Index 6"/>
    <w:basedOn w:val="Normal"/>
    <w:next w:val="Normal"/>
    <w:qFormat/>
    <w:pPr>
      <w:ind w:hanging="200" w:left="1200" w:right="0"/>
    </w:pPr>
    <w:rPr/>
  </w:style>
  <w:style w:type="paragraph" w:styleId="Index7">
    <w:name w:val="Index 7"/>
    <w:basedOn w:val="Normal"/>
    <w:next w:val="Normal"/>
    <w:qFormat/>
    <w:pPr>
      <w:ind w:hanging="200" w:left="1400" w:right="0"/>
    </w:pPr>
    <w:rPr/>
  </w:style>
  <w:style w:type="paragraph" w:styleId="Index8">
    <w:name w:val="Index 8"/>
    <w:basedOn w:val="Normal"/>
    <w:next w:val="Normal"/>
    <w:qFormat/>
    <w:pPr>
      <w:ind w:hanging="200" w:left="1600" w:right="0"/>
    </w:pPr>
    <w:rPr/>
  </w:style>
  <w:style w:type="paragraph" w:styleId="Index9">
    <w:name w:val="Index 9"/>
    <w:basedOn w:val="Normal"/>
    <w:next w:val="Normal"/>
    <w:qFormat/>
    <w:pPr>
      <w:ind w:hanging="200" w:left="1800" w:right="0"/>
    </w:pPr>
    <w:rPr/>
  </w:style>
  <w:style w:type="paragraph" w:styleId="IndexHeading">
    <w:name w:val="Index Heading"/>
    <w:basedOn w:val="Normal"/>
    <w:next w:val="Index1"/>
    <w:pPr/>
    <w:rPr>
      <w:rFonts w:ascii="Calibri Light" w:hAnsi="Calibri Light" w:cs="Calibri Light"/>
      <w:b/>
      <w:bCs/>
    </w:rPr>
  </w:style>
  <w:style w:type="paragraph" w:styleId="IntenseQuote">
    <w:name w:val="Intense Quote"/>
    <w:basedOn w:val="Normal"/>
    <w:next w:val="Normal"/>
    <w:qFormat/>
    <w:pPr>
      <w:pBdr>
        <w:top w:val="single" w:sz="4" w:space="10" w:color="4472C4"/>
        <w:bottom w:val="single" w:sz="4" w:space="10" w:color="4472C4"/>
      </w:pBdr>
      <w:spacing w:before="360" w:after="360"/>
      <w:ind w:hanging="0" w:left="864" w:right="864"/>
      <w:jc w:val="center"/>
    </w:pPr>
    <w:rPr>
      <w:i/>
      <w:iCs/>
      <w:color w:val="4472C4"/>
    </w:rPr>
  </w:style>
  <w:style w:type="paragraph" w:styleId="ListContinue">
    <w:name w:val="List Continue"/>
    <w:basedOn w:val="Normal"/>
    <w:qFormat/>
    <w:pPr>
      <w:spacing w:before="0" w:after="120"/>
      <w:ind w:hanging="0" w:left="283" w:right="0"/>
      <w:contextualSpacing/>
    </w:pPr>
    <w:rPr/>
  </w:style>
  <w:style w:type="paragraph" w:styleId="ListContinue2">
    <w:name w:val="List Continue 2"/>
    <w:basedOn w:val="Normal"/>
    <w:qFormat/>
    <w:pPr>
      <w:spacing w:before="0" w:after="120"/>
      <w:ind w:hanging="0" w:left="566" w:right="0"/>
      <w:contextualSpacing/>
    </w:pPr>
    <w:rPr/>
  </w:style>
  <w:style w:type="paragraph" w:styleId="ListContinue3">
    <w:name w:val="List Continue 3"/>
    <w:basedOn w:val="Normal"/>
    <w:qFormat/>
    <w:pPr>
      <w:spacing w:before="0" w:after="120"/>
      <w:ind w:hanging="0" w:left="849" w:right="0"/>
      <w:contextualSpacing/>
    </w:pPr>
    <w:rPr/>
  </w:style>
  <w:style w:type="paragraph" w:styleId="ListContinue4">
    <w:name w:val="List Continue 4"/>
    <w:basedOn w:val="Normal"/>
    <w:qFormat/>
    <w:pPr>
      <w:spacing w:before="0" w:after="120"/>
      <w:ind w:hanging="0" w:left="1132" w:right="0"/>
      <w:contextualSpacing/>
    </w:pPr>
    <w:rPr/>
  </w:style>
  <w:style w:type="paragraph" w:styleId="ListContinue5">
    <w:name w:val="List Continue 5"/>
    <w:basedOn w:val="Normal"/>
    <w:qFormat/>
    <w:pPr>
      <w:spacing w:before="0" w:after="120"/>
      <w:ind w:hanging="0" w:left="1415" w:right="0"/>
      <w:contextualSpacing/>
    </w:pPr>
    <w:rPr/>
  </w:style>
  <w:style w:type="paragraph" w:styleId="ListNumber3">
    <w:name w:val="List Number 3"/>
    <w:basedOn w:val="Normal"/>
    <w:qFormat/>
    <w:pPr>
      <w:numPr>
        <w:ilvl w:val="0"/>
        <w:numId w:val="4"/>
      </w:numPr>
      <w:spacing w:before="0" w:after="180"/>
      <w:contextualSpacing/>
    </w:pPr>
    <w:rPr/>
  </w:style>
  <w:style w:type="paragraph" w:styleId="ListNumber4">
    <w:name w:val="List Number 4"/>
    <w:basedOn w:val="Normal"/>
    <w:qFormat/>
    <w:pPr>
      <w:numPr>
        <w:ilvl w:val="0"/>
        <w:numId w:val="3"/>
      </w:numPr>
      <w:spacing w:before="0" w:after="180"/>
      <w:contextualSpacing/>
    </w:pPr>
    <w:rPr/>
  </w:style>
  <w:style w:type="paragraph" w:styleId="ListNumber5">
    <w:name w:val="List Number 5"/>
    <w:basedOn w:val="Normal"/>
    <w:qFormat/>
    <w:pPr>
      <w:numPr>
        <w:ilvl w:val="0"/>
        <w:numId w:val="2"/>
      </w:numPr>
      <w:spacing w:before="0" w:after="180"/>
      <w:contextualSpacing/>
    </w:pPr>
    <w:rPr/>
  </w:style>
  <w:style w:type="paragraph" w:styleId="ListParagraph">
    <w:name w:val="List Paragraph"/>
    <w:basedOn w:val="Normal"/>
    <w:qFormat/>
    <w:pPr>
      <w:ind w:hanging="0" w:left="720" w:right="0"/>
    </w:pPr>
    <w:rPr/>
  </w:style>
  <w:style w:type="paragraph" w:styleId="MacroText">
    <w:name w:val="Macro Text"/>
    <w:qFormat/>
    <w:pPr>
      <w:widowControl/>
      <w:tabs>
        <w:tab w:val="clear" w:pos="284"/>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overflowPunct w:val="false"/>
      <w:autoSpaceDE w:val="false"/>
      <w:bidi w:val="0"/>
      <w:spacing w:before="0" w:after="180"/>
      <w:textAlignment w:val="baseline"/>
    </w:pPr>
    <w:rPr>
      <w:rFonts w:ascii="Courier New" w:hAnsi="Courier New" w:eastAsia="Times New Roman" w:cs="Courier New"/>
      <w:color w:val="auto"/>
      <w:sz w:val="20"/>
      <w:szCs w:val="20"/>
      <w:lang w:val="en-GB"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134" w:left="1134" w:right="0"/>
    </w:pPr>
    <w:rPr>
      <w:rFonts w:ascii="Calibri Light" w:hAnsi="Calibri Light" w:cs="Calibri Light"/>
      <w:sz w:val="24"/>
      <w:szCs w:val="24"/>
    </w:rPr>
  </w:style>
  <w:style w:type="paragraph" w:styleId="NoSpacing">
    <w:name w:val="No Spacing"/>
    <w:qFormat/>
    <w:pPr>
      <w:widowControl/>
      <w:overflowPunct w:val="false"/>
      <w:autoSpaceDE w:val="false"/>
      <w:bidi w:val="0"/>
      <w:textAlignment w:val="baseline"/>
    </w:pPr>
    <w:rPr>
      <w:rFonts w:ascii="Times New Roman" w:hAnsi="Times New Roman" w:eastAsia="Times New Roman" w:cs="Times New Roman"/>
      <w:color w:val="auto"/>
      <w:sz w:val="20"/>
      <w:szCs w:val="20"/>
      <w:lang w:val="en-GB" w:bidi="ar-SA" w:eastAsia="zh-CN"/>
    </w:rPr>
  </w:style>
  <w:style w:type="paragraph" w:styleId="NormalWeb">
    <w:name w:val="Normal (Web)"/>
    <w:basedOn w:val="Normal"/>
    <w:qFormat/>
    <w:pPr/>
    <w:rPr>
      <w:sz w:val="24"/>
      <w:szCs w:val="24"/>
    </w:rPr>
  </w:style>
  <w:style w:type="paragraph" w:styleId="NormalIndent">
    <w:name w:val="Normal Indent"/>
    <w:basedOn w:val="Normal"/>
    <w:qFormat/>
    <w:pPr>
      <w:ind w:hanging="0" w:left="720" w:right="0"/>
    </w:pPr>
    <w:rPr/>
  </w:style>
  <w:style w:type="paragraph" w:styleId="NoteHeading">
    <w:name w:val="Note Heading"/>
    <w:basedOn w:val="Normal"/>
    <w:next w:val="Normal"/>
    <w:qFormat/>
    <w:pPr/>
    <w:rPr/>
  </w:style>
  <w:style w:type="paragraph" w:styleId="PlainText">
    <w:name w:val="Plain Text"/>
    <w:basedOn w:val="Normal"/>
    <w:qFormat/>
    <w:pPr/>
    <w:rPr>
      <w:rFonts w:ascii="Courier New" w:hAnsi="Courier New" w:cs="Courier New"/>
    </w:rPr>
  </w:style>
  <w:style w:type="paragraph" w:styleId="Quote">
    <w:name w:val="Quote"/>
    <w:basedOn w:val="Normal"/>
    <w:next w:val="Normal"/>
    <w:qFormat/>
    <w:pPr>
      <w:spacing w:before="200" w:after="160"/>
      <w:ind w:hanging="0" w:left="864" w:right="864"/>
      <w:jc w:val="center"/>
    </w:pPr>
    <w:rPr>
      <w:i/>
      <w:iCs/>
      <w:color w:val="404040"/>
    </w:rPr>
  </w:style>
  <w:style w:type="paragraph" w:styleId="Salutation">
    <w:name w:val="Salutation"/>
    <w:basedOn w:val="Normal"/>
    <w:next w:val="Normal"/>
    <w:qFormat/>
    <w:pPr/>
    <w:rPr/>
  </w:style>
  <w:style w:type="paragraph" w:styleId="Signature">
    <w:name w:val="Signature"/>
    <w:basedOn w:val="Normal"/>
    <w:pPr>
      <w:ind w:hanging="0" w:left="4252" w:right="0"/>
    </w:pPr>
    <w:rPr/>
  </w:style>
  <w:style w:type="paragraph" w:styleId="Subtitle">
    <w:name w:val="Subtitle"/>
    <w:basedOn w:val="Normal"/>
    <w:next w:val="Normal"/>
    <w:qFormat/>
    <w:pPr>
      <w:spacing w:before="0" w:after="60"/>
      <w:jc w:val="center"/>
      <w:outlineLvl w:val="1"/>
    </w:pPr>
    <w:rPr>
      <w:rFonts w:ascii="Calibri Light" w:hAnsi="Calibri Light" w:cs="Calibri Light"/>
      <w:sz w:val="24"/>
      <w:szCs w:val="24"/>
    </w:rPr>
  </w:style>
  <w:style w:type="paragraph" w:styleId="TableofAuthorities">
    <w:name w:val="Table of Authorities"/>
    <w:basedOn w:val="Normal"/>
    <w:next w:val="Normal"/>
    <w:qFormat/>
    <w:pPr>
      <w:ind w:hanging="200" w:left="200" w:right="0"/>
    </w:pPr>
    <w:rPr/>
  </w:style>
  <w:style w:type="paragraph" w:styleId="TableofFigures">
    <w:name w:val="Table of Figures"/>
    <w:basedOn w:val="Normal"/>
    <w:next w:val="Normal"/>
    <w:qFormat/>
    <w:pPr/>
    <w:rPr/>
  </w:style>
  <w:style w:type="paragraph" w:styleId="TOAHeading">
    <w:name w:val="TOA Heading"/>
    <w:basedOn w:val="Normal"/>
    <w:next w:val="Normal"/>
    <w:qFormat/>
    <w:pPr>
      <w:spacing w:before="120" w:after="180"/>
    </w:pPr>
    <w:rPr>
      <w:rFonts w:ascii="Calibri Light" w:hAnsi="Calibri Light" w:cs="Calibri Light"/>
      <w:b/>
      <w:bCs/>
      <w:sz w:val="24"/>
      <w:szCs w:val="24"/>
    </w:rPr>
  </w:style>
  <w:style w:type="paragraph" w:styleId="TOCHeading">
    <w:name w:val="TOC Heading"/>
    <w:basedOn w:val="Heading1"/>
    <w:next w:val="Normal"/>
    <w:qFormat/>
    <w:pPr>
      <w:keepLines w:val="false"/>
      <w:numPr>
        <w:ilvl w:val="0"/>
        <w:numId w:val="0"/>
      </w:numPr>
      <w:pBdr>
        <w:top w:val="nil"/>
      </w:pBdr>
      <w:spacing w:before="240" w:after="60"/>
      <w:ind w:hanging="0" w:left="0" w:right="0"/>
      <w:outlineLvl w:val="9"/>
    </w:pPr>
    <w:rPr>
      <w:rFonts w:ascii="Calibri Light" w:hAnsi="Calibri Light" w:cs="Calibri Light"/>
      <w:b/>
      <w:bCs/>
      <w:kern w:val="2"/>
      <w:sz w:val="32"/>
      <w:szCs w:val="32"/>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image" Target="media/image2.png"/><Relationship Id="rId5" Type="http://schemas.openxmlformats.org/officeDocument/2006/relationships/oleObject" Target="embeddings/oleObject2.bin"/><Relationship Id="rId6" Type="http://schemas.openxmlformats.org/officeDocument/2006/relationships/image" Target="media/image1.wmf"/><Relationship Id="rId7" Type="http://schemas.openxmlformats.org/officeDocument/2006/relationships/image" Target="media/image2.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3GPP_70.dot</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2025-07-03T15:04:00Z</dcterms:created>
  <dc:creator>MCC Support</dc:creator>
  <dc:description/>
  <cp:keywords>5G Security Assurance SMF product class</cp:keywords>
  <dc:language>en-US</dc:language>
  <cp:lastModifiedBy>33.328_CR0081_(Rel-18)_NG_RTC_SEC</cp:lastModifiedBy>
  <dcterms:modified xsi:type="dcterms:W3CDTF">2025-07-04T10:47:00Z</dcterms:modified>
  <cp:revision>3</cp:revision>
  <dc:subject>5G Security Assurance Specification (SCAS) for the Session Management Function(SMF) network product class (Release 17)</dc:subject>
  <dc:title>3GPP TS 33.515</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(3)zz4DwzJsEH9RxOdoKAJlMw42rejsu4xyGHuTFXlxDRCBzdDNFdczmL6dhUZPJuNAhQ7O2rxM
rI9oRPy96Pte/OGiaVHPYI87Xgkr7rvcYXxyh04syY6hVapE3YJwqfwb8s62onQs5jdWAhuC
9MQ4xy3VE71QsC4Hcp0ySgGLQvM5ogpdvFSQLwgbytTCWAkZedFVJSnlTl24z/Z0f1OG1vNJ
rA5xCXBLpLKJX4KU4I</vt:lpwstr>
  </property>
  <property fmtid="{D5CDD505-2E9C-101B-9397-08002B2CF9AE}" pid="3" name="_2015_ms_pID_7253431">
    <vt:lpwstr>MND/a9oy3HdN7RbwW4N2pONYedXPBFhXSmecO3bP7Hz4JXpfBWMEEl
2UmaIq1YOrMhho9MJ42io5kvyeFZHG9hm92hJRzOV40U++MtTxeKweAkPr0mBPYKqGRXZf6G
kvYE2oOFmY9OqbTZmuyb17sL/91zpAqg9ZxvH7Swe1hLfB75dMCcvm6P9Xnf+nZYA6MuK9Er
9S2KDFS6gVtfsv7H5oGIedVCWHFMrGxu7dC+</vt:lpwstr>
  </property>
  <property fmtid="{D5CDD505-2E9C-101B-9397-08002B2CF9AE}" pid="4" name="_2015_ms_pID_7253432">
    <vt:lpwstr>XA==</vt:lpwstr>
  </property>
  <property fmtid="{D5CDD505-2E9C-101B-9397-08002B2CF9AE}" pid="5" name="_change">
    <vt:lpwstr/>
  </property>
  <property fmtid="{D5CDD505-2E9C-101B-9397-08002B2CF9AE}" pid="6" name="_full-control">
    <vt:lpwstr/>
  </property>
  <property fmtid="{D5CDD505-2E9C-101B-9397-08002B2CF9AE}" pid="7" name="_readonly">
    <vt:lpwstr/>
  </property>
  <property fmtid="{D5CDD505-2E9C-101B-9397-08002B2CF9AE}" pid="8" name="sflag">
    <vt:lpwstr>1560129773</vt:lpwstr>
  </property>
</Properties>
</file>