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B8" w:rsidRPr="00FC35B8" w:rsidRDefault="00FC35B8" w:rsidP="00FC35B8">
      <w:pPr>
        <w:pStyle w:val="Titolo1"/>
        <w:rPr>
          <w:rFonts w:eastAsia="Times New Roman"/>
          <w:lang w:eastAsia="it-IT"/>
        </w:rPr>
      </w:pPr>
      <w:r w:rsidRPr="00FC35B8">
        <w:rPr>
          <w:rFonts w:eastAsia="Times New Roman"/>
          <w:lang w:eastAsia="it-IT"/>
        </w:rPr>
        <w:t>Gestire il ciclo di vita dei servizi in ASP.NET Core</w:t>
      </w:r>
    </w:p>
    <w:p w:rsidR="001C6185" w:rsidRDefault="00FC35B8" w:rsidP="00FC35B8">
      <w:pPr>
        <w:pStyle w:val="Titolo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Nel precedente script (</w:t>
      </w:r>
      <w:hyperlink r:id="rId5" w:history="1">
        <w:r>
          <w:rPr>
            <w:rStyle w:val="Collegamentoipertestuale"/>
            <w:rFonts w:ascii="Arial" w:hAnsi="Arial" w:cs="Arial"/>
            <w:color w:val="2A557F"/>
            <w:sz w:val="21"/>
            <w:szCs w:val="21"/>
            <w:u w:val="none"/>
            <w:shd w:val="clear" w:color="auto" w:fill="FFFFFF"/>
          </w:rPr>
          <w:t>https://www.aspitalia.com/script/1229/Configurare-Middleware-Servizi-ASP.NET-Core.aspx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abbiamo iniziato ad esplorare la classe </w:t>
      </w:r>
      <w:r>
        <w:rPr>
          <w:rStyle w:val="Enfasigrassetto"/>
          <w:rFonts w:ascii="Arial" w:hAnsi="Arial" w:cs="Arial"/>
          <w:color w:val="000000"/>
          <w:sz w:val="21"/>
          <w:szCs w:val="21"/>
          <w:shd w:val="clear" w:color="auto" w:fill="FFFFFF"/>
        </w:rPr>
        <w:t>Startup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di un'applicazione ASP.NET Core ed abbiamo visto come il suo metodo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ConfigureServices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sia usato per aggiungere dei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servizi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ovvero classi a cui abbiamo affidato dei compiti specifici come compiere delle elaborazioni o interagire con una risorsa.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Usando degli extension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ci è possibile aggiungere una varietà di servizi sviluppati da Microsoft e da terze parti, di cui parleremo nei prossimi script.</w:t>
      </w:r>
    </w:p>
    <w:p w:rsidR="00FC35B8" w:rsidRDefault="00FC35B8" w:rsidP="00FC35B8">
      <w:bookmarkStart w:id="0" w:name="_GoBack"/>
      <w:r>
        <w:rPr>
          <w:noProof/>
        </w:rPr>
        <w:drawing>
          <wp:inline distT="0" distB="0" distL="0" distR="0">
            <wp:extent cx="5237480" cy="2336800"/>
            <wp:effectExtent l="0" t="0" r="1270" b="635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Per il momento è importante sapere che ad un'applicazione ASP.NET Core possiamo aggiungere anche servizi applicativi ed infrastrutturali creati da noi. Vediamo l'esempio di un servizio personalizzato che si occuperà di inviare e-mail agli utenti.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public</w:t>
      </w: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class</w:t>
      </w: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proofErr w:type="gram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SmtpEmailSender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:</w:t>
      </w:r>
      <w:proofErr w:type="gram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IEmailSender</w:t>
      </w:r>
      <w:proofErr w:type="spellEnd"/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{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public</w:t>
      </w: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async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Task </w:t>
      </w:r>
      <w:proofErr w:type="spellStart"/>
      <w:proofErr w:type="gram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SendEmailAsync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(</w:t>
      </w:r>
      <w:proofErr w:type="spellStart"/>
      <w:proofErr w:type="gramEnd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email,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subject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,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 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message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)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{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//</w:t>
      </w:r>
      <w:r w:rsidRPr="00FC35B8">
        <w:rPr>
          <w:rFonts w:ascii="Courier New" w:eastAsia="Times New Roman" w:hAnsi="Courier New" w:cs="Courier New"/>
          <w:i/>
          <w:iCs/>
          <w:color w:val="608B4E"/>
          <w:sz w:val="20"/>
          <w:szCs w:val="20"/>
          <w:lang w:eastAsia="it-IT"/>
        </w:rPr>
        <w:t>TODO: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 logica di invio e-mail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}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}</w:t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Dove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IEmailSender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è un'interfaccia così definita: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public</w:t>
      </w: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interface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IEmailSender</w:t>
      </w:r>
      <w:proofErr w:type="spellEnd"/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{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Task </w:t>
      </w:r>
      <w:proofErr w:type="spellStart"/>
      <w:proofErr w:type="gram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SendEmailAsync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(</w:t>
      </w:r>
      <w:proofErr w:type="spellStart"/>
      <w:proofErr w:type="gramEnd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email,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subject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,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string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message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);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}</w:t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Aggiungere un servizio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come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SmtpEmailSender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ad un'applicazione ASP.NET Core significa delegare la creazione delle sue istanze al meccanismo di </w:t>
      </w:r>
      <w:proofErr w:type="spellStart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dependency</w:t>
      </w:r>
      <w:proofErr w:type="spellEnd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 xml:space="preserve"> injection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, che si occuperà anche del loro rilascio al termine del proprio </w:t>
      </w:r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ciclo di vita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. In questo modo, si verificheranno due conseguenze vantaggiose:</w:t>
      </w:r>
    </w:p>
    <w:p w:rsidR="00FC35B8" w:rsidRPr="00FC35B8" w:rsidRDefault="00FC35B8" w:rsidP="00FC35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Non dovendo usare la parola chiave </w:t>
      </w:r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new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per costruire i servizi, siamo incentivati a </w:t>
      </w:r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disaccoppiare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 i vari componenti del nostro software affinché siano più </w:t>
      </w:r>
      <w:proofErr w:type="spell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manutenibili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e testabili;</w:t>
      </w:r>
    </w:p>
    <w:p w:rsidR="00FC35B8" w:rsidRPr="00FC35B8" w:rsidRDefault="00FC35B8" w:rsidP="00FC35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Riduciamo il rischio che, dimenticando l'invocazione ad un </w:t>
      </w:r>
      <w:proofErr w:type="gram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Dispose(</w:t>
      </w:r>
      <w:proofErr w:type="gram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), restino risorse attive in memoria. Le istanze dei servizi vengono rilasciate per noi.</w:t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proofErr w:type="gram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lastRenderedPageBreak/>
        <w:t>E'</w:t>
      </w:r>
      <w:proofErr w:type="gram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possibile aggiungere servizi con diversi cicli di vita e per fare ciò usiamo uno dei 3 extension </w:t>
      </w:r>
      <w:proofErr w:type="spell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method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di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IServiceCollection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:</w:t>
      </w:r>
    </w:p>
    <w:p w:rsidR="00FC35B8" w:rsidRPr="00FC35B8" w:rsidRDefault="00FC35B8" w:rsidP="00FC35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proofErr w:type="spellStart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AddSingleton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 ci garantisce che verrà creata e riutilizzata una singola istanza per l'intera applicazione. </w:t>
      </w:r>
      <w:proofErr w:type="gram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E'</w:t>
      </w:r>
      <w:proofErr w:type="gram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consigliato per servizi che non mantengono uno stato interno, come le classi che usiamo per </w:t>
      </w:r>
      <w:proofErr w:type="spell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recupare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valori di configurazione, per scrivere delle righe di log o per inviare e-mail. Potenzialmente, i metodi e le proprietà di un servizio </w:t>
      </w:r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singleton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 verranno usati da vari </w:t>
      </w:r>
      <w:proofErr w:type="spell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thread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contemporaneamente e quindi è essenziale che la sua implementazione sia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thread-safe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. Utile quando vogliamo regolare l'accesso ad una risorsa da parte della nostra applicazione, come ad esempio limitare il numero di e-mail inviate nell'unità di tempo;</w:t>
      </w:r>
    </w:p>
    <w:p w:rsidR="00FC35B8" w:rsidRPr="00FC35B8" w:rsidRDefault="00FC35B8" w:rsidP="00FC35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proofErr w:type="spellStart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AddScoped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 lo usiamo per riutilizzare l'istanza di un servizio nel contesto di una richiesta HTTP. </w:t>
      </w:r>
      <w:proofErr w:type="gramStart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E'</w:t>
      </w:r>
      <w:proofErr w:type="gram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 xml:space="preserve"> consigliato per oggetti che non sono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thread-safe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o che mantengono uno stato interno come il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DbContext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di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Entity</w:t>
      </w:r>
      <w:proofErr w:type="spellEnd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 xml:space="preserve"> Framework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. In questo modo, dato che la creazione di un'istanza del servizio avviene una sola volta per ogni richiesta HTTP, riusciamo a razionalizzare alcuni "costi prestazionali", come quelli legati all'ottenimento di una connessione al database;</w:t>
      </w:r>
    </w:p>
    <w:p w:rsidR="00FC35B8" w:rsidRPr="00FC35B8" w:rsidRDefault="00FC35B8" w:rsidP="00FC35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proofErr w:type="spellStart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AddTransient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causerà la creazione di una nuova istanza del servizio ogni volta che un componente della nostra applicazione lo richiede. Dato che nessuna istanza verrà mai riutilizzata, è un ciclo di vita indicato per servizi semplici, di veloce creazione come un client HTTP usato per inviare richieste ad una API remota.</w:t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Come esempio, andiamo a registrare il servizio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SmtpEmailSender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con il metodo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AddSingleton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. Apriamo il file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Startup.cs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del progetto e scriviamo: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public</w:t>
      </w: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r w:rsidRPr="00FC35B8">
        <w:rPr>
          <w:rFonts w:ascii="Courier New" w:eastAsia="Times New Roman" w:hAnsi="Courier New" w:cs="Courier New"/>
          <w:color w:val="569CD6"/>
          <w:sz w:val="20"/>
          <w:szCs w:val="20"/>
          <w:lang w:eastAsia="it-IT"/>
        </w:rPr>
        <w:t>void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</w:t>
      </w:r>
      <w:proofErr w:type="spellStart"/>
      <w:proofErr w:type="gram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ConfigureServices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(</w:t>
      </w:r>
      <w:proofErr w:type="spellStart"/>
      <w:proofErr w:type="gram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IServiceCollection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services)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{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//Qui configurazione di altri servizi del framework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//Qui aggiungiamo il nostro servizio </w:t>
      </w:r>
      <w:proofErr w:type="spellStart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SmtpEmailSender</w:t>
      </w:r>
      <w:proofErr w:type="spellEnd"/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proofErr w:type="spellStart"/>
      <w:proofErr w:type="gram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services.AddSingleton</w:t>
      </w:r>
      <w:proofErr w:type="spellEnd"/>
      <w:proofErr w:type="gram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&lt;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IEmailSender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, </w:t>
      </w:r>
      <w:proofErr w:type="spellStart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SmtpEmailSender</w:t>
      </w:r>
      <w:proofErr w:type="spellEnd"/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&gt;();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//Non è obbligatorio che il servizio implementi un'interfaccia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//come </w:t>
      </w:r>
      <w:proofErr w:type="spellStart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IEmailSender</w:t>
      </w:r>
      <w:proofErr w:type="spellEnd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, ma è una pratica utile per il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//disaccoppiamento e lo </w:t>
      </w:r>
      <w:proofErr w:type="spellStart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unit</w:t>
      </w:r>
      <w:proofErr w:type="spellEnd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 xml:space="preserve"> testing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//In alternativa, avremmo potuto scrivere semplicemente: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 xml:space="preserve">  </w:t>
      </w:r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//</w:t>
      </w:r>
      <w:proofErr w:type="spellStart"/>
      <w:proofErr w:type="gramStart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services.AddSingleton</w:t>
      </w:r>
      <w:proofErr w:type="spellEnd"/>
      <w:proofErr w:type="gramEnd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&lt;</w:t>
      </w:r>
      <w:proofErr w:type="spellStart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SmtpEmailSender</w:t>
      </w:r>
      <w:proofErr w:type="spellEnd"/>
      <w:r w:rsidRPr="00FC35B8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it-IT"/>
        </w:rPr>
        <w:t>&gt;();</w:t>
      </w:r>
    </w:p>
    <w:p w:rsidR="00FC35B8" w:rsidRPr="00FC35B8" w:rsidRDefault="00FC35B8" w:rsidP="00FC35B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</w:pPr>
      <w:r w:rsidRPr="00FC35B8">
        <w:rPr>
          <w:rFonts w:ascii="Courier New" w:eastAsia="Times New Roman" w:hAnsi="Courier New" w:cs="Courier New"/>
          <w:color w:val="DCDCDC"/>
          <w:sz w:val="20"/>
          <w:szCs w:val="20"/>
          <w:lang w:eastAsia="it-IT"/>
        </w:rPr>
        <w:t>}</w:t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Il meccanismo di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dependency</w:t>
      </w:r>
      <w:proofErr w:type="spellEnd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 xml:space="preserve"> injection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di ASP.NET Core si occupa di creare un'istanza di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SmtpEmailSender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e fornire quella stessa istanza a tutti i componenti che manifestino una dipendenza da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IEmailSender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nel proprio costruttore. Qui di seguito vengono appunto illustrati due di questi componenti: un controller ed una classe di business.</w:t>
      </w:r>
    </w:p>
    <w:p w:rsidR="00FC35B8" w:rsidRPr="00FC35B8" w:rsidRDefault="00FC35B8" w:rsidP="00FC35B8">
      <w:pPr>
        <w:shd w:val="clear" w:color="auto" w:fill="097FB8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noProof/>
          <w:color w:val="000000"/>
          <w:sz w:val="21"/>
          <w:szCs w:val="21"/>
          <w:lang w:eastAsia="it-IT"/>
        </w:rPr>
        <w:lastRenderedPageBreak/>
        <w:drawing>
          <wp:inline distT="0" distB="0" distL="0" distR="0">
            <wp:extent cx="5237480" cy="2611120"/>
            <wp:effectExtent l="0" t="0" r="1270" b="0"/>
            <wp:docPr id="2" name="Immagin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B8" w:rsidRPr="00FC35B8" w:rsidRDefault="00FC35B8" w:rsidP="00FC35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it-IT"/>
        </w:rPr>
      </w:pP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br/>
        <w:t>Il meccanismo di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dependency</w:t>
      </w:r>
      <w:proofErr w:type="spellEnd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 xml:space="preserve"> injection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si occupa anche di </w:t>
      </w:r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rilasciare le istanze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al termine del loro ciclo di vita, senza che sia necessario alcun intervento da parte nostra. Ad esempio, nel caso di servizi aggiunti con il metodo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AddScoped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, le istanze verranno rilasciate automaticamente alla conclusione della richiesta HTTP. Per i servizi che implementano l'interfaccia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IDisposable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, ASP.NET Core invoca il loro metodo </w:t>
      </w:r>
      <w:proofErr w:type="gramStart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Dispose(</w:t>
      </w:r>
      <w:proofErr w:type="gramEnd"/>
      <w:r w:rsidRPr="00FC35B8">
        <w:rPr>
          <w:rFonts w:ascii="Arial" w:eastAsia="Times New Roman" w:hAnsi="Arial" w:cs="Arial"/>
          <w:b/>
          <w:bCs/>
          <w:color w:val="000000"/>
          <w:sz w:val="21"/>
          <w:szCs w:val="21"/>
          <w:lang w:eastAsia="it-IT"/>
        </w:rPr>
        <w:t>)</w:t>
      </w:r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affinché le eventuali risorse </w:t>
      </w:r>
      <w:proofErr w:type="spellStart"/>
      <w:r w:rsidRPr="00FC35B8">
        <w:rPr>
          <w:rFonts w:ascii="Arial" w:eastAsia="Times New Roman" w:hAnsi="Arial" w:cs="Arial"/>
          <w:i/>
          <w:iCs/>
          <w:color w:val="000000"/>
          <w:sz w:val="21"/>
          <w:szCs w:val="21"/>
          <w:lang w:eastAsia="it-IT"/>
        </w:rPr>
        <w:t>unmanaged</w:t>
      </w:r>
      <w:proofErr w:type="spellEnd"/>
      <w:r w:rsidRPr="00FC35B8">
        <w:rPr>
          <w:rFonts w:ascii="Arial" w:eastAsia="Times New Roman" w:hAnsi="Arial" w:cs="Arial"/>
          <w:color w:val="000000"/>
          <w:sz w:val="21"/>
          <w:szCs w:val="21"/>
          <w:lang w:eastAsia="it-IT"/>
        </w:rPr>
        <w:t> possano essere liberate tempestivamente.</w:t>
      </w:r>
    </w:p>
    <w:p w:rsidR="00FC35B8" w:rsidRDefault="00FC35B8" w:rsidP="00FC35B8"/>
    <w:p w:rsidR="00FC35B8" w:rsidRPr="00FC35B8" w:rsidRDefault="00FC35B8" w:rsidP="00FC35B8"/>
    <w:sectPr w:rsidR="00FC35B8" w:rsidRPr="00FC3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C74"/>
    <w:multiLevelType w:val="multilevel"/>
    <w:tmpl w:val="455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45E2F"/>
    <w:multiLevelType w:val="multilevel"/>
    <w:tmpl w:val="FA1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B8"/>
    <w:rsid w:val="001C6185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EDF8"/>
  <w15:chartTrackingRefBased/>
  <w15:docId w15:val="{1D1AF012-20D2-4CD9-AAE9-0E0BA3C5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FC35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FC35B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FC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C3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C35B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keyword">
    <w:name w:val="hljs-keyword"/>
    <w:basedOn w:val="Carpredefinitoparagrafo"/>
    <w:rsid w:val="00FC35B8"/>
  </w:style>
  <w:style w:type="character" w:customStyle="1" w:styleId="hljs-title">
    <w:name w:val="hljs-title"/>
    <w:basedOn w:val="Carpredefinitoparagrafo"/>
    <w:rsid w:val="00FC35B8"/>
  </w:style>
  <w:style w:type="character" w:customStyle="1" w:styleId="hljs-function">
    <w:name w:val="hljs-function"/>
    <w:basedOn w:val="Carpredefinitoparagrafo"/>
    <w:rsid w:val="00FC35B8"/>
  </w:style>
  <w:style w:type="character" w:customStyle="1" w:styleId="hljs-params">
    <w:name w:val="hljs-params"/>
    <w:basedOn w:val="Carpredefinitoparagrafo"/>
    <w:rsid w:val="00FC35B8"/>
  </w:style>
  <w:style w:type="character" w:customStyle="1" w:styleId="hljs-comment">
    <w:name w:val="hljs-comment"/>
    <w:basedOn w:val="Carpredefinitoparagrafo"/>
    <w:rsid w:val="00FC35B8"/>
  </w:style>
  <w:style w:type="character" w:customStyle="1" w:styleId="hljs-doctag">
    <w:name w:val="hljs-doctag"/>
    <w:basedOn w:val="Carpredefinitoparagrafo"/>
    <w:rsid w:val="00FC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spitalia.com/script/1229/Configurare-Middleware-Servizi-ASP.NET-Cor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2020-03-05T08:15:00Z</dcterms:created>
  <dcterms:modified xsi:type="dcterms:W3CDTF">2020-03-05T08:19:00Z</dcterms:modified>
</cp:coreProperties>
</file>