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w:t>
      </w:r>
      <w:proofErr w:type="spellStart"/>
      <w:r w:rsidR="00B418E0">
        <w:rPr>
          <w:rFonts w:ascii="Consolas" w:hAnsi="Consolas" w:cs="Consolas"/>
          <w:color w:val="000000"/>
          <w:sz w:val="24"/>
          <w:szCs w:val="24"/>
        </w:rPr>
        <w:t>blank</w:t>
      </w:r>
      <w:proofErr w:type="spellEnd"/>
      <w:r w:rsidR="00B418E0">
        <w:rPr>
          <w:rFonts w:ascii="Consolas" w:hAnsi="Consolas" w:cs="Consolas"/>
          <w:color w:val="000000"/>
          <w:sz w:val="24"/>
          <w:szCs w:val="24"/>
        </w:rPr>
        <w:t>)</w:t>
      </w:r>
    </w:p>
    <w:p w:rsidR="00FE00AE" w:rsidRDefault="007D030E" w:rsidP="007D030E">
      <w:pPr>
        <w:pStyle w:val="Titolo2"/>
        <w:rPr>
          <w:bdr w:val="none" w:sz="0" w:space="0" w:color="auto" w:frame="1"/>
        </w:rPr>
      </w:pPr>
      <w:r>
        <w:rPr>
          <w:bdr w:val="none" w:sz="0" w:space="0" w:color="auto" w:frame="1"/>
        </w:rPr>
        <w:t>Data ultimo giorno dell’anno della data indicata</w:t>
      </w:r>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r>
        <w:rPr>
          <w:bdr w:val="none" w:sz="0" w:space="0" w:color="auto" w:frame="1"/>
        </w:rPr>
        <w:t>Data primo giorno dell’anno della data indicata</w:t>
      </w:r>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r>
        <w:rPr>
          <w:bdr w:val="none" w:sz="0" w:space="0" w:color="auto" w:frame="1"/>
        </w:rPr>
        <w:t>FIND</w:t>
      </w:r>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 xml:space="preserve">È possibile combinare i caratteri '=', '&lt;' </w:t>
      </w:r>
      <w:proofErr w:type="gramStart"/>
      <w:r w:rsidRPr="0017177A">
        <w:rPr>
          <w:rFonts w:asciiTheme="minorHAnsi" w:hAnsiTheme="minorHAnsi" w:cstheme="minorHAnsi"/>
          <w:color w:val="171717"/>
          <w:sz w:val="20"/>
        </w:rPr>
        <w:t>e '</w:t>
      </w:r>
      <w:proofErr w:type="gramEnd"/>
      <w:r w:rsidRPr="0017177A">
        <w:rPr>
          <w:rFonts w:asciiTheme="minorHAnsi" w:hAnsiTheme="minorHAnsi" w:cstheme="minorHAnsi"/>
          <w:color w:val="171717"/>
          <w:sz w:val="20"/>
        </w:rPr>
        <w:t>&gt;'.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."No.</w:t>
      </w:r>
      <w:proofErr w:type="gramStart"/>
      <w:r w:rsidRPr="0017177A">
        <w:rPr>
          <w:rFonts w:eastAsia="Times New Roman" w:cstheme="minorHAnsi"/>
          <w:color w:val="171717"/>
          <w:sz w:val="20"/>
          <w:szCs w:val="21"/>
          <w:shd w:val="clear" w:color="auto" w:fill="FAFAFA"/>
          <w:lang w:eastAsia="it-IT"/>
        </w:rPr>
        <w:t>" :</w:t>
      </w:r>
      <w:proofErr w:type="gramEnd"/>
      <w:r w:rsidRPr="0017177A">
        <w:rPr>
          <w:rFonts w:eastAsia="Times New Roman" w:cstheme="minorHAnsi"/>
          <w:color w:val="171717"/>
          <w:sz w:val="20"/>
          <w:szCs w:val="21"/>
          <w:shd w:val="clear" w:color="auto" w:fill="FAFAFA"/>
          <w:lang w:eastAsia="it-IT"/>
        </w:rPr>
        <w:t xml:space="preserve">=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IF </w:t>
      </w:r>
      <w:proofErr w:type="spellStart"/>
      <w:r w:rsidRPr="0017177A">
        <w:rPr>
          <w:rFonts w:eastAsia="Times New Roman" w:cstheme="minorHAnsi"/>
          <w:color w:val="171717"/>
          <w:sz w:val="20"/>
          <w:szCs w:val="21"/>
          <w:shd w:val="clear" w:color="auto" w:fill="FAFAFA"/>
          <w:lang w:eastAsia="it-IT"/>
        </w:rPr>
        <w:t>ItemRec.FIND</w:t>
      </w:r>
      <w:proofErr w:type="spellEnd"/>
      <w:r w:rsidRPr="0017177A">
        <w:rPr>
          <w:rFonts w:eastAsia="Times New Roman" w:cstheme="minorHAnsi"/>
          <w:color w:val="171717"/>
          <w:sz w:val="20"/>
          <w:szCs w:val="21"/>
          <w:shd w:val="clear" w:color="auto" w:fill="FAFAFA"/>
          <w:lang w:eastAsia="it-IT"/>
        </w:rPr>
        <w:t>('</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w:t>
      </w:r>
      <w:proofErr w:type="gramStart"/>
      <w:r w:rsidRPr="0017177A">
        <w:rPr>
          <w:rFonts w:eastAsia="Times New Roman" w:cstheme="minorHAnsi"/>
          <w:color w:val="171717"/>
          <w:sz w:val="20"/>
          <w:szCs w:val="21"/>
          <w:shd w:val="clear" w:color="auto" w:fill="FAFAFA"/>
          <w:lang w:eastAsia="it-IT"/>
        </w:rPr>
        <w:t>MESSAGE(</w:t>
      </w:r>
      <w:proofErr w:type="gramEnd"/>
      <w:r w:rsidRPr="0017177A">
        <w:rPr>
          <w:rFonts w:eastAsia="Times New Roman" w:cstheme="minorHAnsi"/>
          <w:color w:val="171717"/>
          <w:sz w:val="20"/>
          <w:szCs w:val="21"/>
          <w:shd w:val="clear" w:color="auto" w:fill="FAFAFA"/>
          <w:lang w:eastAsia="it-IT"/>
        </w:rPr>
        <w:t xml:space="preserve">TEXT000,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."No.", </w:t>
      </w:r>
      <w:proofErr w:type="spellStart"/>
      <w:r w:rsidRPr="0017177A">
        <w:rPr>
          <w:rFonts w:eastAsia="Times New Roman" w:cstheme="minorHAnsi"/>
          <w:color w:val="171717"/>
          <w:sz w:val="20"/>
          <w:szCs w:val="21"/>
          <w:shd w:val="clear" w:color="auto" w:fill="FAFAFA"/>
          <w:lang w:eastAsia="it-IT"/>
        </w:rPr>
        <w:t>ItemRec.Description</w:t>
      </w:r>
      <w:proofErr w:type="spellEnd"/>
      <w:r w:rsidRPr="0017177A">
        <w:rPr>
          <w:rFonts w:eastAsia="Times New Roman" w:cstheme="minorHAnsi"/>
          <w:color w:val="171717"/>
          <w:sz w:val="20"/>
          <w:szCs w:val="21"/>
          <w:shd w:val="clear" w:color="auto" w:fill="FAFAFA"/>
          <w:lang w:eastAsia="it-IT"/>
        </w:rPr>
        <w:t xml:space="preserve">,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r>
        <w:rPr>
          <w:bdr w:val="none" w:sz="0" w:space="0" w:color="auto" w:frame="1"/>
        </w:rPr>
        <w:t>Calcolo giorni tra due date</w:t>
      </w:r>
    </w:p>
    <w:p w:rsidR="00B44D94" w:rsidRDefault="00B44D94" w:rsidP="00B44D94"/>
    <w:p w:rsidR="00B44D94" w:rsidRDefault="00B44D94" w:rsidP="00B44D94">
      <w:r>
        <w:t>Definisco una variabile (</w:t>
      </w:r>
      <w:proofErr w:type="spellStart"/>
      <w:r>
        <w:t>days</w:t>
      </w:r>
      <w:proofErr w:type="spellEnd"/>
      <w:r>
        <w:t xml:space="preserve">) di tipo </w:t>
      </w:r>
      <w:proofErr w:type="spellStart"/>
      <w:r>
        <w:t>integer</w:t>
      </w:r>
      <w:proofErr w:type="spellEnd"/>
      <w:r>
        <w:t xml:space="preserve"> che conterrà il risultato del </w:t>
      </w:r>
      <w:proofErr w:type="gramStart"/>
      <w:r>
        <w:t>calcolo :</w:t>
      </w:r>
      <w:proofErr w:type="gramEnd"/>
    </w:p>
    <w:p w:rsidR="00B44D94" w:rsidRPr="00B44D94" w:rsidRDefault="00B44D94" w:rsidP="00B44D94">
      <w:proofErr w:type="spellStart"/>
      <w:proofErr w:type="gramStart"/>
      <w:r>
        <w:rPr>
          <w:rFonts w:ascii="Consolas" w:hAnsi="Consolas" w:cs="Consolas"/>
          <w:color w:val="000000"/>
          <w:sz w:val="24"/>
          <w:szCs w:val="24"/>
          <w:highlight w:val="white"/>
        </w:rPr>
        <w:t>days</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Ending</w:t>
      </w:r>
      <w:proofErr w:type="spellEnd"/>
      <w:r>
        <w:rPr>
          <w:rFonts w:ascii="Consolas" w:hAnsi="Consolas" w:cs="Consolas"/>
          <w:color w:val="000000"/>
          <w:sz w:val="24"/>
          <w:szCs w:val="24"/>
          <w:highlight w:val="white"/>
        </w:rPr>
        <w:t xml:space="preserve">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Starting</w:t>
      </w:r>
      <w:proofErr w:type="spellEnd"/>
      <w:r>
        <w:rPr>
          <w:rFonts w:ascii="Consolas" w:hAnsi="Consolas" w:cs="Consolas"/>
          <w:color w:val="000000"/>
          <w:sz w:val="24"/>
          <w:szCs w:val="24"/>
          <w:highlight w:val="white"/>
        </w:rPr>
        <w:t xml:space="preserve">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Default="00575EFF" w:rsidP="00575EFF">
      <w:pPr>
        <w:pStyle w:val="Titolo2"/>
      </w:pPr>
      <w:r>
        <w:t>Lettura del calendario NAV Colussi</w:t>
      </w:r>
    </w:p>
    <w:p w:rsidR="00575EFF" w:rsidRDefault="00575EFF" w:rsidP="00575EFF"/>
    <w:p w:rsidR="00575EFF" w:rsidRDefault="00575EFF" w:rsidP="00575EFF">
      <w:r>
        <w:t xml:space="preserve">Definire le seguenti </w:t>
      </w:r>
      <w:proofErr w:type="gramStart"/>
      <w:r>
        <w:t>variabili :</w:t>
      </w:r>
      <w:proofErr w:type="gramEnd"/>
    </w:p>
    <w:p w:rsidR="00575EFF" w:rsidRDefault="00575EFF" w:rsidP="00575EFF">
      <w:proofErr w:type="spellStart"/>
      <w:r>
        <w:t>Name</w:t>
      </w:r>
      <w:proofErr w:type="spellEnd"/>
      <w:r>
        <w:tab/>
      </w:r>
      <w:r>
        <w:tab/>
      </w:r>
      <w:r>
        <w:tab/>
      </w:r>
      <w:proofErr w:type="spellStart"/>
      <w:r>
        <w:t>DataType</w:t>
      </w:r>
      <w:proofErr w:type="spellEnd"/>
      <w:r>
        <w:tab/>
      </w:r>
      <w:proofErr w:type="spellStart"/>
      <w:r>
        <w:t>Subtype</w:t>
      </w:r>
      <w:proofErr w:type="spellEnd"/>
      <w:r>
        <w:tab/>
      </w:r>
      <w:r>
        <w:tab/>
      </w:r>
      <w:proofErr w:type="spellStart"/>
      <w:r>
        <w:t>Length</w:t>
      </w:r>
      <w:proofErr w:type="spellEnd"/>
    </w:p>
    <w:p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rsidR="00575EFF" w:rsidRDefault="00575EFF" w:rsidP="00575EFF">
      <w:proofErr w:type="spellStart"/>
      <w:r>
        <w:t>ColussiSetup</w:t>
      </w:r>
      <w:proofErr w:type="spellEnd"/>
      <w:r>
        <w:tab/>
      </w:r>
      <w:r>
        <w:tab/>
        <w:t>Record</w:t>
      </w:r>
      <w:r>
        <w:tab/>
      </w:r>
      <w:r>
        <w:tab/>
        <w:t>Colussi Setup</w:t>
      </w:r>
      <w:r>
        <w:tab/>
      </w:r>
    </w:p>
    <w:p w:rsidR="00575EFF" w:rsidRDefault="00575EFF" w:rsidP="00575EFF">
      <w:proofErr w:type="spellStart"/>
      <w:r>
        <w:t>CalendarCode</w:t>
      </w:r>
      <w:proofErr w:type="spellEnd"/>
      <w:r>
        <w:tab/>
      </w:r>
      <w:r>
        <w:tab/>
        <w:t>Code</w:t>
      </w:r>
      <w:r>
        <w:tab/>
      </w:r>
      <w:r>
        <w:tab/>
      </w:r>
      <w:r>
        <w:tab/>
      </w:r>
      <w:r>
        <w:tab/>
      </w:r>
      <w:r>
        <w:tab/>
        <w:t>20</w:t>
      </w:r>
    </w:p>
    <w:p w:rsidR="00575EFF" w:rsidRDefault="00575EFF" w:rsidP="00575EFF">
      <w:proofErr w:type="spellStart"/>
      <w:r>
        <w:t>TargetDate</w:t>
      </w:r>
      <w:proofErr w:type="spellEnd"/>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Weekly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r>
        <w:t>Chiamare una page da un’altra page passandogli dei parametri</w:t>
      </w:r>
    </w:p>
    <w:p w:rsidR="008405AD" w:rsidRDefault="008405AD" w:rsidP="008405AD">
      <w:r>
        <w:t>L’esempio in questione coinvolge la page 46 che può chiamare la 80101.</w:t>
      </w:r>
    </w:p>
    <w:p w:rsidR="008405AD" w:rsidRDefault="008405AD" w:rsidP="008405AD">
      <w:r>
        <w:t xml:space="preserve">Nella page 46 c’è un bottone </w:t>
      </w:r>
      <w:proofErr w:type="gramStart"/>
      <w:r>
        <w:t>che :</w:t>
      </w:r>
      <w:proofErr w:type="gramEnd"/>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Sent</w:t>
      </w:r>
      <w:proofErr w:type="spellEnd"/>
      <w:r>
        <w:rPr>
          <w:rFonts w:ascii="Consolas" w:hAnsi="Consolas" w:cs="Consolas"/>
          <w:color w:val="000000"/>
          <w:sz w:val="24"/>
          <w:szCs w:val="24"/>
          <w:highlight w:val="white"/>
        </w:rPr>
        <w:t xml:space="preserve">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proofErr w:type="spellStart"/>
      <w:r w:rsidRPr="008405AD">
        <w:rPr>
          <w:rFonts w:cstheme="minorHAnsi"/>
        </w:rPr>
        <w:t>Name</w:t>
      </w:r>
      <w:proofErr w:type="spellEnd"/>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proofErr w:type="spellStart"/>
      <w:r w:rsidRPr="008405AD">
        <w:rPr>
          <w:rFonts w:cstheme="minorHAnsi"/>
        </w:rPr>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6CC7" w:rsidRDefault="00846CC7" w:rsidP="00846CC7">
      <w:pPr>
        <w:pStyle w:val="Titolo2"/>
      </w:pPr>
      <w:proofErr w:type="spellStart"/>
      <w:r>
        <w:t>CurrentPage.UPDATE</w:t>
      </w:r>
      <w:proofErr w:type="spellEnd"/>
    </w:p>
    <w:p w:rsidR="00846CC7" w:rsidRDefault="00846CC7" w:rsidP="00846CC7"/>
    <w:p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rsidR="00846CC7" w:rsidRDefault="00846CC7" w:rsidP="00846CC7">
      <w:r>
        <w:t>parametri</w:t>
      </w:r>
    </w:p>
    <w:p w:rsidR="00846CC7" w:rsidRDefault="00846CC7" w:rsidP="00846CC7">
      <w:proofErr w:type="spellStart"/>
      <w:r>
        <w:t>SaveRecord</w:t>
      </w:r>
      <w:proofErr w:type="spellEnd"/>
    </w:p>
    <w:p w:rsidR="00846CC7" w:rsidRDefault="00846CC7" w:rsidP="00846CC7">
      <w:r>
        <w:t>Tipo: booleano</w:t>
      </w:r>
    </w:p>
    <w:p w:rsidR="00846CC7" w:rsidRPr="00E43DA3" w:rsidRDefault="00846CC7" w:rsidP="00846CC7">
      <w:pPr>
        <w:rPr>
          <w:u w:val="single"/>
        </w:rPr>
      </w:pPr>
    </w:p>
    <w:p w:rsid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p w:rsidR="005A3E78" w:rsidRDefault="005A3E78" w:rsidP="00846CC7"/>
    <w:p w:rsidR="005A3E78" w:rsidRDefault="005A3E78" w:rsidP="005A3E78">
      <w:pPr>
        <w:pStyle w:val="Titolo2"/>
      </w:pPr>
      <w:r>
        <w:t xml:space="preserve">Rendere </w:t>
      </w:r>
      <w:proofErr w:type="spellStart"/>
      <w:r>
        <w:t>editable</w:t>
      </w:r>
      <w:proofErr w:type="spellEnd"/>
      <w:r>
        <w:t xml:space="preserve"> una </w:t>
      </w:r>
      <w:proofErr w:type="spellStart"/>
      <w:r>
        <w:t>subform</w:t>
      </w:r>
      <w:proofErr w:type="spellEnd"/>
      <w:r>
        <w:t xml:space="preserve"> quando è </w:t>
      </w:r>
      <w:proofErr w:type="spellStart"/>
      <w:r>
        <w:t>editable</w:t>
      </w:r>
      <w:proofErr w:type="spellEnd"/>
      <w:r>
        <w:t xml:space="preserve"> la </w:t>
      </w:r>
      <w:proofErr w:type="spellStart"/>
      <w:r>
        <w:t>form</w:t>
      </w:r>
      <w:proofErr w:type="spellEnd"/>
      <w:r>
        <w:t xml:space="preserve"> che la contiene</w:t>
      </w:r>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OnAfterGetCurrRecord</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proofErr w:type="spellStart"/>
      <w:proofErr w:type="gramStart"/>
      <w:r>
        <w:rPr>
          <w:rFonts w:ascii="Consolas" w:hAnsi="Consolas" w:cs="Consolas"/>
          <w:color w:val="000000"/>
          <w:sz w:val="24"/>
          <w:szCs w:val="24"/>
          <w:highlight w:val="white"/>
        </w:rPr>
        <w:t>DynamicEditable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roofErr w:type="spellEnd"/>
      <w:r>
        <w:rPr>
          <w:rFonts w:ascii="Consolas" w:hAnsi="Consolas" w:cs="Consolas"/>
          <w:color w:val="000000"/>
          <w:sz w:val="24"/>
          <w:szCs w:val="24"/>
          <w:highlight w:val="white"/>
        </w:rPr>
        <w:t>;</w:t>
      </w:r>
    </w:p>
    <w:p w:rsidR="005A3E78" w:rsidRDefault="005A3E78" w:rsidP="005A3E78">
      <w:r>
        <w:t xml:space="preserve">dove </w:t>
      </w:r>
      <w:proofErr w:type="spellStart"/>
      <w:r>
        <w:t>DynamicEditable</w:t>
      </w:r>
      <w:proofErr w:type="spellEnd"/>
      <w:r>
        <w:t xml:space="preserve"> è una variabile globale booleana</w:t>
      </w:r>
    </w:p>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725D68">
      <w:pPr>
        <w:pStyle w:val="Titolo2"/>
      </w:pPr>
      <w:r>
        <w:t>Cose da verificare</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w:t>
      </w:r>
      <w:proofErr w:type="spellStart"/>
      <w:r>
        <w:rPr>
          <w:rFonts w:ascii="Consolas" w:hAnsi="Consolas"/>
          <w:color w:val="000000"/>
          <w:sz w:val="24"/>
          <w:szCs w:val="24"/>
          <w:shd w:val="clear" w:color="auto" w:fill="FFFFFF"/>
        </w:rPr>
        <w:t>DateP</w:t>
      </w:r>
      <w:proofErr w:type="spellEnd"/>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proofErr w:type="gramStart"/>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proofErr w:type="gramEnd"/>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Pr="00725D68" w:rsidRDefault="00725D68" w:rsidP="00725D68">
      <w:bookmarkStart w:id="0" w:name="_GoBack"/>
      <w:bookmarkEnd w:id="0"/>
    </w:p>
    <w:sectPr w:rsidR="00725D68" w:rsidRPr="00725D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126568"/>
    <w:rsid w:val="0017177A"/>
    <w:rsid w:val="00264707"/>
    <w:rsid w:val="00437BE7"/>
    <w:rsid w:val="00465582"/>
    <w:rsid w:val="00493AFA"/>
    <w:rsid w:val="00575EFF"/>
    <w:rsid w:val="005A3E78"/>
    <w:rsid w:val="006B29CA"/>
    <w:rsid w:val="00706CFD"/>
    <w:rsid w:val="00725D68"/>
    <w:rsid w:val="007C2DC1"/>
    <w:rsid w:val="007D030E"/>
    <w:rsid w:val="008405AD"/>
    <w:rsid w:val="00846CC7"/>
    <w:rsid w:val="00883E09"/>
    <w:rsid w:val="008C77F5"/>
    <w:rsid w:val="008E321E"/>
    <w:rsid w:val="00A5286A"/>
    <w:rsid w:val="00B418E0"/>
    <w:rsid w:val="00B44D94"/>
    <w:rsid w:val="00BD558D"/>
    <w:rsid w:val="00E13087"/>
    <w:rsid w:val="00E43DA3"/>
    <w:rsid w:val="00E45BAC"/>
    <w:rsid w:val="00E63411"/>
    <w:rsid w:val="00F67ADF"/>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ADBA"/>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9</Pages>
  <Words>1929</Words>
  <Characters>10999</Characters>
  <Application>Microsoft Office Word</Application>
  <DocSecurity>0</DocSecurity>
  <Lines>91</Lines>
  <Paragraphs>25</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27</cp:revision>
  <dcterms:created xsi:type="dcterms:W3CDTF">2020-05-06T14:53:00Z</dcterms:created>
  <dcterms:modified xsi:type="dcterms:W3CDTF">2020-07-07T14:10:00Z</dcterms:modified>
</cp:coreProperties>
</file>