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 BULK ANALYSIS REPORT</w:t>
      </w:r>
    </w:p>
    <w:p>
      <w:pPr>
        <w:jc w:val="center"/>
      </w:pPr>
      <w:r>
        <w:t>Generated: 23 March 2026, 17:24</w:t>
        <w:br/>
        <w:t>Contracts analysed: 6</w:t>
      </w:r>
    </w:p>
    <w:p/>
    <w:p>
      <w:pPr>
        <w:pStyle w:val="Heading1"/>
      </w:pPr>
      <w:r>
        <w:t>1. Keyword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Found In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96"/>
          </w:tcPr>
          <w:p>
            <w:r>
              <w:rPr>
                <w:b/>
              </w:rPr>
              <w:t>% Presence</w:t>
            </w:r>
          </w:p>
        </w:tc>
      </w:tr>
      <w:tr>
        <w:tc>
          <w:tcPr>
            <w:tcW w:type="dxa" w:w="2196"/>
          </w:tcPr>
          <w:p>
            <w:r>
              <w:t>unlimited liability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auto-renewal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0.0%</w:t>
            </w:r>
          </w:p>
        </w:tc>
      </w:tr>
      <w:tr>
        <w:tc>
          <w:tcPr>
            <w:tcW w:type="dxa" w:w="2196"/>
          </w:tcPr>
          <w:p>
            <w:r>
              <w:t>GDPR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data breach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termination for convenience</w:t>
            </w:r>
          </w:p>
        </w:tc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16.7%</w:t>
            </w:r>
          </w:p>
        </w:tc>
      </w:tr>
      <w:tr>
        <w:tc>
          <w:tcPr>
            <w:tcW w:type="dxa" w:w="2196"/>
          </w:tcPr>
          <w:p>
            <w:r>
              <w:t>gross negligence</w:t>
            </w:r>
          </w:p>
        </w:tc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50.0%</w:t>
            </w:r>
          </w:p>
        </w:tc>
      </w:tr>
      <w:tr>
        <w:tc>
          <w:tcPr>
            <w:tcW w:type="dxa" w:w="2196"/>
          </w:tcPr>
          <w:p>
            <w:r>
              <w:t>wilful misconduct</w:t>
            </w:r>
          </w:p>
        </w:tc>
        <w:tc>
          <w:tcPr>
            <w:tcW w:type="dxa" w:w="2196"/>
          </w:tcPr>
          <w:p>
            <w:r>
              <w:t>0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0.0%</w:t>
            </w:r>
          </w:p>
        </w:tc>
      </w:tr>
      <w:tr>
        <w:tc>
          <w:tcPr>
            <w:tcW w:type="dxa" w:w="2196"/>
          </w:tcPr>
          <w:p>
            <w:r>
              <w:t>indemnif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100.0%</w:t>
            </w:r>
          </w:p>
        </w:tc>
      </w:tr>
      <w:tr>
        <w:tc>
          <w:tcPr>
            <w:tcW w:type="dxa" w:w="2196"/>
          </w:tcPr>
          <w:p>
            <w:r>
              <w:t>consequential damages</w:t>
            </w:r>
          </w:p>
        </w:tc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33.3%</w:t>
            </w:r>
          </w:p>
        </w:tc>
      </w:tr>
      <w:tr>
        <w:tc>
          <w:tcPr>
            <w:tcW w:type="dxa" w:w="2196"/>
          </w:tcPr>
          <w:p>
            <w:r>
              <w:t>governing law</w:t>
            </w:r>
          </w:p>
        </w:tc>
        <w:tc>
          <w:tcPr>
            <w:tcW w:type="dxa" w:w="2196"/>
          </w:tcPr>
          <w:p>
            <w:r>
              <w:t>5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83.3%</w:t>
            </w:r>
          </w:p>
        </w:tc>
      </w:tr>
      <w:tr>
        <w:tc>
          <w:tcPr>
            <w:tcW w:type="dxa" w:w="2196"/>
          </w:tcPr>
          <w:p>
            <w:r>
              <w:t>materially</w:t>
            </w:r>
          </w:p>
        </w:tc>
        <w:tc>
          <w:tcPr>
            <w:tcW w:type="dxa" w:w="2196"/>
          </w:tcPr>
          <w:p>
            <w:r>
              <w:t>4</w:t>
            </w:r>
          </w:p>
        </w:tc>
        <w:tc>
          <w:tcPr>
            <w:tcW w:type="dxa" w:w="2196"/>
          </w:tcPr>
          <w:p>
            <w:r>
              <w:t>6</w:t>
            </w:r>
          </w:p>
        </w:tc>
        <w:tc>
          <w:tcPr>
            <w:tcW w:type="dxa" w:w="2196"/>
          </w:tcPr>
          <w:p>
            <w:r>
              <w:t>66.7%</w:t>
            </w:r>
          </w:p>
        </w:tc>
      </w:tr>
    </w:tbl>
    <w:p/>
    <w:p>
      <w:pPr>
        <w:pStyle w:val="Heading1"/>
      </w:pPr>
      <w:r>
        <w:t>2. Clause Presence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Present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Absent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57"/>
          </w:tcPr>
          <w:p>
            <w:r>
              <w:rPr>
                <w:b/>
              </w:rPr>
              <w:t>% Presence</w:t>
            </w:r>
          </w:p>
        </w:tc>
      </w:tr>
      <w:tr>
        <w:tc>
          <w:tcPr>
            <w:tcW w:type="dxa" w:w="1757"/>
          </w:tcPr>
          <w:p>
            <w:r>
              <w:t>Limitation of Liability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Data Protection / GDPR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50.0%</w:t>
            </w:r>
          </w:p>
        </w:tc>
      </w:tr>
      <w:tr>
        <w:tc>
          <w:tcPr>
            <w:tcW w:type="dxa" w:w="1757"/>
          </w:tcPr>
          <w:p>
            <w:r>
              <w:t>Confidentiality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Termination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Governing Law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0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100.0%</w:t>
            </w:r>
          </w:p>
        </w:tc>
      </w:tr>
      <w:tr>
        <w:tc>
          <w:tcPr>
            <w:tcW w:type="dxa" w:w="1757"/>
          </w:tcPr>
          <w:p>
            <w:r>
              <w:t>Force Majeure</w:t>
            </w:r>
          </w:p>
        </w:tc>
        <w:tc>
          <w:tcPr>
            <w:tcW w:type="dxa" w:w="1757"/>
          </w:tcPr>
          <w:p>
            <w:r>
              <w:t>5</w:t>
            </w:r>
          </w:p>
        </w:tc>
        <w:tc>
          <w:tcPr>
            <w:tcW w:type="dxa" w:w="1757"/>
          </w:tcPr>
          <w:p>
            <w:r>
              <w:t>1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83.3%</w:t>
            </w:r>
          </w:p>
        </w:tc>
      </w:tr>
      <w:tr>
        <w:tc>
          <w:tcPr>
            <w:tcW w:type="dxa" w:w="1757"/>
          </w:tcPr>
          <w:p>
            <w:r>
              <w:t>Auto-Renewal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3</w:t>
            </w:r>
          </w:p>
        </w:tc>
        <w:tc>
          <w:tcPr>
            <w:tcW w:type="dxa" w:w="1757"/>
          </w:tcPr>
          <w:p>
            <w:r>
              <w:t>6</w:t>
            </w:r>
          </w:p>
        </w:tc>
        <w:tc>
          <w:tcPr>
            <w:tcW w:type="dxa" w:w="1757"/>
          </w:tcPr>
          <w:p>
            <w:r>
              <w:t>50.0%</w:t>
            </w:r>
          </w:p>
        </w:tc>
      </w:tr>
    </w:tbl>
    <w:p/>
    <w:p>
      <w:pPr>
        <w:pStyle w:val="Heading1"/>
      </w:pPr>
      <w:r>
        <w:t>3. Notable Divergences Between Contract Groups</w:t>
      </w:r>
    </w:p>
    <w:p>
      <w:pPr>
        <w:pStyle w:val="ListBullet"/>
      </w:pPr>
      <w:r>
        <w:rPr>
          <w:sz w:val="20"/>
        </w:rPr>
        <w:t>Force Majeure: Other 100.0% vs Vendor Contracts 0.0% (gap: 100.0%)</w:t>
      </w:r>
    </w:p>
    <w:p>
      <w:pPr>
        <w:pStyle w:val="ListBullet"/>
      </w:pPr>
      <w:r>
        <w:rPr>
          <w:sz w:val="20"/>
        </w:rPr>
        <w:t>Data Protection / GDPR: Vendor Contracts 100.0% vs Other 40.0% (gap: 60.0%)</w:t>
      </w:r>
    </w:p>
    <w:p>
      <w:pPr>
        <w:pStyle w:val="ListBullet"/>
      </w:pPr>
      <w:r>
        <w:rPr>
          <w:sz w:val="20"/>
        </w:rPr>
        <w:t>Auto-Renewal: Vendor Contracts 100.0% vs Other 40.0% (gap: 60.0%)</w:t>
      </w:r>
    </w:p>
    <w:p/>
    <w:p>
      <w:pPr>
        <w:pStyle w:val="Heading1"/>
      </w:pPr>
      <w:r>
        <w:t>4. Metadata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098"/>
          </w:tcPr>
          <w:p>
            <w:r>
              <w:rPr>
                <w:b/>
                <w:sz w:val="16"/>
              </w:rPr>
              <w:t>Contract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Parties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Effective Date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Governing Law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Jurisdiction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Notice Period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1098"/>
          </w:tcPr>
          <w:p>
            <w:r>
              <w:rPr>
                <w:b/>
                <w:sz w:val="16"/>
              </w:rPr>
              <w:t>Auto Renewal</w:t>
            </w:r>
          </w:p>
        </w:tc>
      </w:tr>
      <w:tr>
        <w:tc>
          <w:tcPr>
            <w:tcW w:type="dxa" w:w="1098"/>
          </w:tcPr>
          <w:p>
            <w:r>
              <w:t>Google Cloud Platform Terms Of Service.pdf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 parties prior to the date that you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</w:t>
              <w:br/>
              <w:t>UNITED STATES OF AMERICA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such that there is</w:t>
              <w:br/>
              <w:t>a change in the Google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098"/>
          </w:tcPr>
          <w:p>
            <w:r>
              <w:t>Lic_Online_TOMA_v062223_CH_CA_ENG.pdf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Oracle Software (Schweiz) GmbH (“Oracle,” “we,”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Swiss law without reference to its confli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This agreement is governed by Swiss law 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45 days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Online Subscription Agreement _ Microsoft Azure.pdf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 entity you represent, or, if you do not designate an entity in connection wit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Washington law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does not prevent either party from seekin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098"/>
          </w:tcPr>
          <w:p>
            <w:r>
              <w:t>Sample_Version_2a_MCCA_package_enUS.pdf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SAP America, Inc.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GTC for Cloud Services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over any disputes resulting from the EU 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UsageAI-ComputeCostOptimizationForAWS_EULA_2022.09.19.pdf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Company and Customer, Company re-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the United States and the State of</w:t>
              <w:br/>
              <w:t>New Yo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and venue of such courts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1098"/>
          </w:tcPr>
          <w:p>
            <w:r>
              <w:t>salesforce_MSA.pdf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Customer and SFDC as of the date of Customer’s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and Jurisdiction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whatsoever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30 days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098"/>
          </w:tcPr>
          <w:p>
            <w:r>
              <w:rPr>
                <w:sz w:val="16"/>
              </w:rPr>
              <w:t>Yes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