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3200"/></w:pPr></w:p><w:p><w:pPr><w:spacing w:after="200"/><w:jc w:val="center"/></w:pPr><w:r><w:rPr><w:rFonts w:ascii="Arial" w:cs="Arial" w:eastAsia="Arial" w:hAnsi="Arial"/><w:b/><w:bCs/><w:color w:val="1B2A4A"/><w:sz w:val="56"/><w:szCs w:val="56"/></w:rPr><w:t xml:space="preserve">BASQUIO</w:t></w:r></w:p><w:p><w:pPr><w:spacing w:after="80"/><w:jc w:val="center"/></w:pPr><w:r><w:rPr><w:rFonts w:ascii="Arial" w:cs="Arial" w:eastAsia="Arial" w:hAnsi="Arial"/><w:color w:val="2E5FA1"/><w:sz w:val="40"/><w:szCs w:val="40"/></w:rPr><w:t xml:space="preserve">Go-to-Market Strategy</w:t></w:r></w:p><w:p><w:pPr><w:pBdr><w:bottom w:val="single" w:color="2E5FA1" w:sz="6" w:space="1"/></w:pBdr><w:spacing w:after="600"/><w:jc w:val="center"/></w:pPr><w:r><w:rPr><w:rFonts w:ascii="Arial" w:cs="Arial" w:eastAsia="Arial" w:hAnsi="Arial"/><w:color w:val="666666"/><w:sz w:val="20"/><w:szCs w:val="20"/></w:rPr><w:t xml:space="preserve">Fastest Path to Revenue for the Most Domain-Dense Founding Team in Market Research AI</w:t></w:r></w:p><w:p><w:pPr><w:spacing w:before="60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B2A4A" w:sz="6"/><w:left w:val="single" w:color="E0E0E0" w:sz="1"/><w:bottom w:val="single" w:color="E0E0E0" w:sz="1"/><w:right w:val="single" w:color="E0E0E0" w:sz="1"/></w:tcBorders><w:shd w:fill="F8FAFC" w:val="clear"/><w:tcMar><w:top w:type="dxa" w:w="120"/><w:left w:type="dxa" w:w="160"/><w:bottom w:type="dxa" w:w="120"/><w:right w:type="dxa" w:w="160"/></w:tcMar></w:tcPr><w:p><w:pPr><w:spacing w:after="60"/></w:pPr><w:r><w:rPr><w:rFonts w:ascii="Arial" w:cs="Arial" w:eastAsia="Arial" w:hAnsi="Arial"/><w:b/><w:bCs/><w:color w:val="1B2A4A"/><w:sz w:val="22"/><w:szCs w:val="22"/></w:rPr><w:t xml:space="preserve">THE ANSWER</w:t></w:r></w:p><w:p><w:pPr><w:spacing w:after="0"/></w:pPr><w:r><w:rPr><w:rFonts w:ascii="Arial" w:cs="Arial" w:eastAsia="Arial" w:hAnsi="Arial"/><w:color w:val="222222"/><w:sz w:val="20"/><w:szCs w:val="20"/></w:rPr><w:t xml:space="preserve">B2B, vertical-first, starting with CPG/FMCG market research teams. Not generic presentations — syndicated data intelligence decks. Your beachhead is the exact workflow your 5 domain co-founders execute every single day. Start selling to yourselves, then to your colleagues, then to the industry.</w:t></w:r></w:p></w:tc></w:tr></w:tbl><w:p><w:pPr><w:spacing w:before="600"/></w:pPr></w:p><w:p><w:pPr><w:jc w:val="center"/></w:pPr><w:r><w:rPr><w:rFonts w:ascii="Arial" w:cs="Arial" w:eastAsia="Arial" w:hAnsi="Arial"/><w:color w:val="666666"/><w:sz w:val="20"/><w:szCs w:val="20"/></w:rPr><w:t xml:space="preserve">March 15, 2026 | Confidential</w:t></w:r></w:p><w:p><w:pPr><w:sectPr><w:pgSz w:w="12240" w:h="15840" w:orient="portrait"/><w:pgMar w:top="1440" w:right="1440" w:bottom="1440" w:left="1440" w:header="708" w:footer="708" w:gutter="0"/><w:pgNumType/><w:docGrid w:linePitch="360"/></w:sectPr></w:pPr></w:p><w:p><w:pPr><w:pStyle w:val="Heading1"/><w:spacing w:after="200" w:before="360"/></w:pPr><w:r><w:rPr><w:rFonts w:ascii="Arial" w:cs="Arial" w:eastAsia="Arial" w:hAnsi="Arial"/><w:b/><w:bCs/><w:color w:val="1B2A4A"/><w:sz w:val="32"/><w:szCs w:val="32"/></w:rPr><w:t xml:space="preserve">1. Why This Team Wins</w:t></w:r></w:p><w:p><w:pPr><w:spacing w:after="120" w:line="276"/></w:pPr><w:r><w:rPr><w:rFonts w:ascii="Arial" w:cs="Arial" w:eastAsia="Arial" w:hAnsi="Arial"/><w:color w:val="222222"/><w:sz w:val="20"/><w:szCs w:val="20"/></w:rPr><w:t xml:space="preserve">Before strategy, let’s establish why this specific team has an unfair advantage that no other AI startup in this space possesses.</w:t></w:r></w:p><w:p><w:pPr><w:spacing w:after="80"/></w:pPr></w:p><w:p><w:pPr><w:pStyle w:val="Heading2"/><w:spacing w:after="160" w:before="280"/></w:pPr><w:r><w:rPr><w:rFonts w:ascii="Arial" w:cs="Arial" w:eastAsia="Arial" w:hAnsi="Arial"/><w:b/><w:bCs/><w:color w:val="2E5FA1"/><w:sz w:val="26"/><w:szCs w:val="26"/></w:rPr><w:t xml:space="preserve">1.1 The Team Map</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400"/><w:gridCol w:w="2200"/><w:gridCol w:w="5760"/></w:tblGrid><w:tr><w:trPr><w:tblHeader/></w:trPr><w:tc><w:tcPr><w:tcW w:type="dxa" w:w="14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Co-Founder</w:t></w:r></w:p></w:tc><w:tc><w:tcPr><w:tcW w:type="dxa" w:w="22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Current Role</w:t></w:r></w:p></w:tc><w:tc><w:tcPr><w:tcW w:type="dxa" w:w="576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Strategic Value to Basquio</w:t></w:r></w:p></w:tc></w:tr><w:tr><w:trPr><w:tblHeader w:val="false"/></w:trPr><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Marco Di Cesare</w:t></w:r></w:p></w:tc><w:tc><w:tcPr><w:tcW w:type="dxa" w:w="22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Technical founder, AI-native builder</w:t></w:r></w:p></w:tc><w:tc><w:tcPr><w:tcW w:type="dxa" w:w="57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Ships production AI systems. Built the Basquio pipeline (multi-file ingest → analytics → narrative → PPTX/PDF). Execution speed is the moat.</w:t></w:r></w:p></w:tc></w:tr><w:tr><w:trPr><w:tblHeader w:val="false"/></w:trPr><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Marco’s wife</w:t></w:r></w:p></w:tc><w:tc><w:tcPr><w:tcW w:type="dxa" w:w="22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Market Research Analyst, Victorinox</w:t></w:r></w:p></w:tc><w:tc><w:tcPr><w:tcW w:type="dxa" w:w="57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Brand-side buyer perspective. Knows what brand teams need from research deliverables. Victorinox = luxury/lifestyle CPG = excellent beachhead vertical.</w:t></w:r></w:p></w:tc></w:tr><w:tr><w:trPr><w:tblHeader w:val="false"/></w:trPr><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Giulia</w:t></w:r></w:p></w:tc><w:tc><w:tcPr><w:tcW w:type="dxa" w:w="22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Market Research Manager, Mondelez</w:t></w:r></w:p></w:tc><w:tc><w:tcPr><w:tcW w:type="dxa" w:w="57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BUYER PERSONA. Mondelez is one of the world’s largest CPG companies (Oreo, Cadbury, Toblerone). She commissions and consumes the exact reports Basquio generates. She knows what “good” looks like.</w:t></w:r></w:p></w:tc></w:tr><w:tr><w:trPr><w:tblHeader w:val="false"/></w:trPr><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Alessandro</w:t></w:r></w:p></w:tc><w:tc><w:tcPr><w:tcW w:type="dxa" w:w="22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Senior Analyst, NielsenIQ</w:t></w:r></w:p></w:tc><w:tc><w:tcPr><w:tcW w:type="dxa" w:w="57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PRODUCER PERSONA. Lives inside the syndicated data → Excel → PowerPoint workflow daily. Knows NielsenIQ data formats, delivery cadences, and pain points intimately.</w:t></w:r></w:p></w:tc></w:tr><w:tr><w:trPr><w:tblHeader w:val="false"/></w:trPr><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Rossella</w:t></w:r></w:p></w:tc><w:tc><w:tcPr><w:tcW w:type="dxa" w:w="22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Senior Analyst, NielsenIQ</w:t></w:r></w:p></w:tc><w:tc><w:tcPr><w:tcW w:type="dxa" w:w="57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Same as Alessandro. Two NielsenIQ analysts means double the domain knowledge, double the network, and the ability to validate product decisions against real workflows.</w:t></w:r></w:p></w:tc></w:tr><w:tr><w:trPr><w:tblHeader w:val="false"/></w:trPr><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Francesco</w:t></w:r></w:p></w:tc><w:tc><w:tcPr><w:tcW w:type="dxa" w:w="22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Senior Analyst, NielsenIQ</w:t></w:r></w:p></w:tc><w:tc><w:tcPr><w:tcW w:type="dxa" w:w="57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Three NielsenIQ analysts on the founding team. This is unprecedented domain density. They collectively know hundreds of CPG brand contacts, category managers, and research directors.</w:t></w:r></w:p></w:tc></w:tr></w:tbl><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D7D46" w:sz="6"/><w:left w:val="single" w:color="E0E0E0" w:sz="1"/><w:bottom w:val="single" w:color="E0E0E0" w:sz="1"/><w:right w:val="single" w:color="E0E0E0" w:sz="1"/></w:tcBorders><w:shd w:fill="F8FAFC" w:val="clear"/><w:tcMar><w:top w:type="dxa" w:w="120"/><w:left w:type="dxa" w:w="160"/><w:bottom w:type="dxa" w:w="120"/><w:right w:type="dxa" w:w="160"/></w:tcMar></w:tcPr><w:p><w:pPr><w:spacing w:after="60"/></w:pPr><w:r><w:rPr><w:rFonts w:ascii="Arial" w:cs="Arial" w:eastAsia="Arial" w:hAnsi="Arial"/><w:b/><w:bCs/><w:color w:val="2D7D46"/><w:sz w:val="22"/><w:szCs w:val="22"/></w:rPr><w:t xml:space="preserve">WHY THIS MATTERS</w:t></w:r></w:p><w:p><w:pPr><w:spacing w:after="0"/></w:pPr><w:r><w:rPr><w:rFonts w:ascii="Arial" w:cs="Arial" w:eastAsia="Arial" w:hAnsi="Arial"/><w:color w:val="222222"/><w:sz w:val="20"/><w:szCs w:val="20"/></w:rPr><w:t xml:space="preserve">You have BOTH sides of the market on your founding team. The NielsenIQ analysts are the supply side (they produce reports). Giulia and your wife are the demand side (they consume reports). No other startup has this. Investors will immediately understand the unfair advantage.</w:t></w:r></w:p></w:tc></w:tr></w:tbl><w:p><w:pPr><w:spacing w:after="80"/></w:pPr></w:p><w:p><w:pPr><w:pStyle w:val="Heading2"/><w:spacing w:after="160" w:before="280"/></w:pPr><w:r><w:rPr><w:rFonts w:ascii="Arial" w:cs="Arial" w:eastAsia="Arial" w:hAnsi="Arial"/><w:b/><w:bCs/><w:color w:val="2E5FA1"/><w:sz w:val="26"/><w:szCs w:val="26"/></w:rPr><w:t xml:space="preserve">1.2 The Network Effect</w:t></w:r></w:p><w:p><w:pPr><w:spacing w:after="120" w:line="276"/></w:pPr><w:r><w:rPr><w:rFonts w:ascii="Arial" w:cs="Arial" w:eastAsia="Arial" w:hAnsi="Arial"/><w:color w:val="222222"/><w:sz w:val="20"/><w:szCs w:val="20"/></w:rPr><w:t xml:space="preserve">Let’s quantify the warm network your team brings:</w:t></w:r></w:p><w:p><w:pPr><w:spacing w:after="80"/></w:pPr></w:p><w:p><w:pPr><w:pStyle w:val="ListParagraph"/><w:numPr><w:ilvl w:val="0"/><w:numId w:val="2"/></w:numPr><w:spacing w:after="60" w:line="276"/></w:pPr><w:r><w:rPr><w:rFonts w:ascii="Arial" w:cs="Arial" w:eastAsia="Arial" w:hAnsi="Arial"/><w:b/><w:bCs/><w:color w:val="222222"/><w:sz w:val="20"/><w:szCs w:val="20"/></w:rPr><w:t xml:space="preserve">NielsenIQ global employees: </w:t></w:r><w:r><w:rPr><w:rFonts w:ascii="Arial" w:cs="Arial" w:eastAsia="Arial" w:hAnsi="Arial"/><w:color w:val="222222"/><w:sz w:val="20"/><w:szCs w:val="20"/></w:rPr><w:t xml:space="preserve">~28,000–39,000. Your 3 analysts collectively know hundreds of colleagues across offices, categories, and clients. Each NielsenIQ analyst works with 5–15 CPG brand contacts directly.</w:t></w:r></w:p><w:p><w:pPr><w:pStyle w:val="ListParagraph"/><w:numPr><w:ilvl w:val="0"/><w:numId w:val="2"/></w:numPr><w:spacing w:after="60" w:line="276"/></w:pPr><w:r><w:rPr><w:rFonts w:ascii="Arial" w:cs="Arial" w:eastAsia="Arial" w:hAnsi="Arial"/><w:b/><w:bCs/><w:color w:val="222222"/><w:sz w:val="20"/><w:szCs w:val="20"/></w:rPr><w:t xml:space="preserve">Mondelez: </w:t></w:r><w:r><w:rPr><w:rFonts w:ascii="Arial" w:cs="Arial" w:eastAsia="Arial" w:hAnsi="Arial"/><w:color w:val="222222"/><w:sz w:val="20"/><w:szCs w:val="20"/></w:rPr><w:t xml:space="preserve">Giulia’s network includes market research peers at Mondelez and across the CPG industry (conferences, vendor relationships, industry associations).</w:t></w:r></w:p><w:p><w:pPr><w:pStyle w:val="ListParagraph"/><w:numPr><w:ilvl w:val="0"/><w:numId w:val="2"/></w:numPr><w:spacing w:after="60" w:line="276"/></w:pPr><w:r><w:rPr><w:rFonts w:ascii="Arial" w:cs="Arial" w:eastAsia="Arial" w:hAnsi="Arial"/><w:b/><w:bCs/><w:color w:val="222222"/><w:sz w:val="20"/><w:szCs w:val="20"/></w:rPr><w:t xml:space="preserve">Victorinox: </w:t></w:r><w:r><w:rPr><w:rFonts w:ascii="Arial" w:cs="Arial" w:eastAsia="Arial" w:hAnsi="Arial"/><w:color w:val="222222"/><w:sz w:val="20"/><w:szCs w:val="20"/></w:rPr><w:t xml:space="preserve">Your wife’s network includes brand-side research analysts at Victorinox and peer companies in the Swiss/European luxury-lifestyle segment.</w:t></w:r></w:p><w:p><w:pPr><w:pStyle w:val="ListParagraph"/><w:numPr><w:ilvl w:val="0"/><w:numId w:val="2"/></w:numPr><w:spacing w:after="60" w:line="276"/></w:pPr><w:r><w:rPr><w:rFonts w:ascii="Arial" w:cs="Arial" w:eastAsia="Arial" w:hAnsi="Arial"/><w:b/><w:bCs/><w:color w:val="222222"/><w:sz w:val="20"/><w:szCs w:val="20"/></w:rPr><w:t xml:space="preserve">Conservative estimate: </w:t></w:r><w:r><w:rPr><w:rFonts w:ascii="Arial" w:cs="Arial" w:eastAsia="Arial" w:hAnsi="Arial"/><w:color w:val="222222"/><w:sz w:val="20"/><w:szCs w:val="20"/></w:rPr><w:t xml:space="preserve">Your founding team has warm access to 200–500 potential users and 30–80 potential enterprise accounts on day one. That’s more qualified pipeline than most startups build in 12 months.</w:t></w:r></w:p><w:p><w:r><w:br w:type="page"/></w:r></w:p><w:p><w:pPr><w:pStyle w:val="Heading1"/><w:spacing w:after="200" w:before="360"/></w:pPr><w:r><w:rPr><w:rFonts w:ascii="Arial" w:cs="Arial" w:eastAsia="Arial" w:hAnsi="Arial"/><w:b/><w:bCs/><w:color w:val="1B2A4A"/><w:sz w:val="32"/><w:szCs w:val="32"/></w:rPr><w:t xml:space="preserve">2. The Strategic Answer: B2B, Vertical-First</w:t></w:r></w:p><w:p><w:pPr><w:spacing w:after="80"/></w:pPr></w:p><w:p><w:pPr><w:pStyle w:val="Heading2"/><w:spacing w:after="160" w:before="280"/></w:pPr><w:r><w:rPr><w:rFonts w:ascii="Arial" w:cs="Arial" w:eastAsia="Arial" w:hAnsi="Arial"/><w:b/><w:bCs/><w:color w:val="2E5FA1"/><w:sz w:val="26"/><w:szCs w:val="26"/></w:rPr><w:t xml:space="preserve">2.1 B2C vs. B2B: The Decision</w:t></w:r></w:p><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3780"/><w:gridCol w:w="3780"/></w:tblGrid><w:tr><w:trPr><w:tblHeader/></w:trPr><w:tc><w:tcPr><w:tcW w:type="dxa" w:w="18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Dimension</w:t></w:r></w:p></w:tc><w:tc><w:tcPr><w:tcW w:type="dxa" w:w="378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B2C (Individual Analysts)</w:t></w:r></w:p></w:tc><w:tc><w:tcPr><w:tcW w:type="dxa" w:w="378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B2B (Teams &amp; Companies)</w:t></w:r></w:p></w:tc></w:tr><w:tr><w:trPr><w:tblHeader w:val="false"/></w:trPr><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ACV</w:t></w:r></w:p></w:tc><w:tc><w:tcPr><w:tcW w:type="dxa" w:w="378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$29–99/month ($350–1,200/year)</w:t></w:r></w:p></w:tc><w:tc><w:tcPr><w:tcW w:type="dxa" w:w="378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$25K–100K+/year per team</w:t></w:r></w:p></w:tc></w:tr><w:tr><w:trPr><w:tblHeader w:val="false"/></w:trPr><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Sales cycle</w:t></w:r></w:p></w:tc><w:tc><w:tcPr><w:tcW w:type="dxa" w:w="378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Self-serve, minutes</w:t></w:r></w:p></w:tc><w:tc><w:tcPr><w:tcW w:type="dxa" w:w="378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2–6 months (team), 6–12 months (enterprise)</w:t></w:r></w:p></w:tc></w:tr><w:tr><w:trPr><w:tblHeader w:val="false"/></w:trPr><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Path to $1M ARR</w:t></w:r></w:p></w:tc><w:tc><w:tcPr><w:tcW w:type="dxa" w:w="378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Need 1,000–3,000 individual users</w:t></w:r></w:p></w:tc><w:tc><w:tcPr><w:tcW w:type="dxa" w:w="378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Need 10–40 team accounts</w:t></w:r></w:p></w:tc></w:tr><w:tr><w:trPr><w:tblHeader w:val="false"/></w:trPr><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Path to $10M ARR</w:t></w:r></w:p></w:tc><w:tc><w:tcPr><w:tcW w:type="dxa" w:w="378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Need 10,000–30,000 users (very hard)</w:t></w:r></w:p></w:tc><w:tc><w:tcPr><w:tcW w:type="dxa" w:w="378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Need 100–400 accounts (achievable)</w:t></w:r></w:p></w:tc></w:tr><w:tr><w:trPr><w:tblHeader w:val="false"/></w:trPr><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Your unfair advantage</w:t></w:r></w:p></w:tc><w:tc><w:tcPr><w:tcW w:type="dxa" w:w="378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Limited — individual analysts find tools themselves</w:t></w:r></w:p></w:tc><w:tc><w:tcPr><w:tcW w:type="dxa" w:w="378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MASSIVE — your team IS the buyer and the user, with warm intros to hundreds of accounts</w:t></w:r></w:p></w:tc></w:tr><w:tr><w:trPr><w:tblHeader w:val="false"/></w:trPr><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Switching costs</w:t></w:r></w:p></w:tc><w:tc><w:tcPr><w:tcW w:type="dxa" w:w="378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Low — analysts switch tools easily</w:t></w:r></w:p></w:tc><w:tc><w:tcPr><w:tcW w:type="dxa" w:w="378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High — team workflows, templates, brand systems create lock-in</w:t></w:r></w:p></w:tc></w:tr><w:tr><w:trPr><w:tblHeader w:val="false"/></w:trPr><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Margin</w:t></w:r></w:p></w:tc><w:tc><w:tcPr><w:tcW w:type="dxa" w:w="378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High but low absolute $</w:t></w:r></w:p></w:tc><w:tc><w:tcPr><w:tcW w:type="dxa" w:w="378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High and high absolute $</w:t></w:r></w:p></w:tc></w:tr></w:tbl><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B2A4A" w:sz="6"/><w:left w:val="single" w:color="E0E0E0" w:sz="1"/><w:bottom w:val="single" w:color="E0E0E0" w:sz="1"/><w:right w:val="single" w:color="E0E0E0" w:sz="1"/></w:tcBorders><w:shd w:fill="F8FAFC" w:val="clear"/><w:tcMar><w:top w:type="dxa" w:w="120"/><w:left w:type="dxa" w:w="160"/><w:bottom w:type="dxa" w:w="120"/><w:right w:type="dxa" w:w="160"/></w:tcMar></w:tcPr><w:p><w:pPr><w:spacing w:after="60"/></w:pPr><w:r><w:rPr><w:rFonts w:ascii="Arial" w:cs="Arial" w:eastAsia="Arial" w:hAnsi="Arial"/><w:b/><w:bCs/><w:color w:val="1B2A4A"/><w:sz w:val="22"/><w:szCs w:val="22"/></w:rPr><w:t xml:space="preserve">THE VERDICT</w:t></w:r></w:p><w:p><w:pPr><w:spacing w:after="0"/></w:pPr><w:r><w:rPr><w:rFonts w:ascii="Arial" w:cs="Arial" w:eastAsia="Arial" w:hAnsi="Arial"/><w:color w:val="222222"/><w:sz w:val="20"/><w:szCs w:val="20"/></w:rPr><w:t xml:space="preserve">B2B, targeting teams of 5–20 analysts/category managers at CPG brands and market research firms. BUT with a self-serve PLG entry point (Pro tier at $29/month) so individual analysts can discover Basquio, fall in love with it, and pull it into their team. This is the Figma playbook: individual adoption → team conversion → enterprise expansion.</w:t></w:r></w:p></w:tc></w:tr></w:tbl><w:p><w:pPr><w:spacing w:after="80"/></w:pPr></w:p><w:p><w:pPr><w:pStyle w:val="Heading2"/><w:spacing w:after="160" w:before="280"/></w:pPr><w:r><w:rPr><w:rFonts w:ascii="Arial" w:cs="Arial" w:eastAsia="Arial" w:hAnsi="Arial"/><w:b/><w:bCs/><w:color w:val="2E5FA1"/><w:sz w:val="26"/><w:szCs w:val="26"/></w:rPr><w:t xml:space="preserve">2.2 Why Vertical-First (CPG Market Research) Beats Horizontal</w:t></w:r></w:p><w:p><w:pPr><w:spacing w:after="80"/></w:pPr></w:p><w:p><w:pPr><w:spacing w:after="120" w:line="276"/></w:pPr><w:r><w:rPr><w:rFonts w:ascii="Arial" w:cs="Arial" w:eastAsia="Arial" w:hAnsi="Arial"/><w:color w:val="222222"/><w:sz w:val="20"/><w:szCs w:val="20"/></w:rPr><w:t xml:space="preserve">The temptation is to go broad: “intelligence-first presentations for everyone.” Resist it. Here’s why:</w:t></w:r></w:p><w:p><w:pPr><w:spacing w:after="80"/></w:pPr></w:p><0/><w:p><w:pPr><w:spacing w:after="80"/></w:pPr></w:p><w:p><w:pPr><w:spacing w:after="120" w:line="276"/></w:pPr><w:r><w:rPr><w:rFonts w:ascii="Arial" w:cs="Arial" w:eastAsia="Arial" w:hAnsi="Arial"/><w:color w:val="222222"/><w:sz w:val="20"/><w:szCs w:val="20"/></w:rPr><w:t xml:space="preserve">You can go horizontal LATER (Year 2+). But the fastest path to revenue is owning the CPG market research niche first. This is the Veeva playbook (CRM for pharma → $40B company) and the Procore playbook (project management for construction → $12B company). Vertical specificity wins.</w:t></w:r></w:p><w:p><w:r><w:br w:type="page"/></w:r></w:p><w:p><w:pPr><w:pStyle w:val="Heading1"/><w:spacing w:after="200" w:before="360"/></w:pPr><w:r><w:rPr><w:rFonts w:ascii="Arial" w:cs="Arial" w:eastAsia="Arial" w:hAnsi="Arial"/><w:b/><w:bCs/><w:color w:val="1B2A4A"/><w:sz w:val="32"/><w:szCs w:val="32"/></w:rPr><w:t xml:space="preserve">3. The Beachhead: Syndicated Data → Insight Decks</w:t></w:r></w:p><w:p><w:pPr><w:spacing w:after="80"/></w:pPr></w:p><w:p><w:pPr><w:spacing w:after="120" w:line="276"/></w:pPr><w:r><w:rPr><w:rFonts w:ascii="Arial" w:cs="Arial" w:eastAsia="Arial" w:hAnsi="Arial"/><w:color w:val="222222"/><w:sz w:val="20"/><w:szCs w:val="20"/></w:rPr><w:t xml:space="preserve">Your founding team lives inside the single most painful workflow in CPG market research. Here’s the exact pipeline Basquio replaces:</w:t></w:r></w:p><w:p><w:pPr><w:spacing w:after="80"/></w:pPr></w:p><w:p><w:pPr><w:pStyle w:val="Heading2"/><w:spacing w:after="160" w:before="280"/></w:pPr><w:r><w:rPr><w:rFonts w:ascii="Arial" w:cs="Arial" w:eastAsia="Arial" w:hAnsi="Arial"/><w:b/><w:bCs/><w:color w:val="2E5FA1"/><w:sz w:val="26"/><w:szCs w:val="26"/></w:rPr><w:t xml:space="preserve">3.1 The Current Workflow (What Your Team Does Today)</w:t></w:r></w:p><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3760"/><w:gridCol w:w="1400"/><w:gridCol w:w="2400"/></w:tblGrid><w:tr><w:trPr><w:tblHeader/></w:trPr><w:tc><w:tcPr><w:tcW w:type="dxa" w:w="18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Stage</w:t></w:r></w:p></w:tc><w:tc><w:tcPr><w:tcW w:type="dxa" w:w="376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Current Process</w:t></w:r></w:p></w:tc><w:tc><w:tcPr><w:tcW w:type="dxa" w:w="14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Time</w:t></w:r></w:p></w:tc><w:tc><w:tcPr><w:tcW w:type="dxa" w:w="24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Pain Level</w:t></w:r></w:p></w:tc></w:tr><w:tr><w:trPr><w:tblHeader w:val="false"/></w:trPr><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 Data Acquisition</w:t></w:r></w:p></w:tc><w:tc><w:tcPr><w:tcW w:type="dxa" w:w="37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Pull syndicated data from NielsenIQ/Circana/Kantar portals (CSV/Excel)</w:t></w:r></w:p></w:tc><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1–2 hours</w:t></w:r></w:p></w:tc><w:tc><w:tcPr><w:tcW w:type="dxa" w:w="2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Medium</w:t></w:r></w:p></w:tc></w:tr><w:tr><w:trPr><w:tblHeader w:val="false"/></w:trPr><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2. Data Integration</w:t></w:r></w:p></w:tc><w:tc><w:tcPr><w:tcW w:type="dxa" w:w="37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Combine with internal data (ERP, retailer POS feeds) in Excel</w:t></w:r></w:p></w:tc><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3–5 hours</w:t></w:r></w:p></w:tc><w:tc><w:tcPr><w:tcW w:type="dxa" w:w="2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High</w:t></w:r></w:p></w:tc></w:tr><w:tr><w:trPr><w:tblHeader w:val="false"/></w:trPr><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3. Analysis</w:t></w:r></w:p></w:tc><w:tc><w:tcPr><w:tcW w:type="dxa" w:w="37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Pivot tables, cross-tabs, market share calculations, trend analysis</w:t></w:r></w:p></w:tc><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8–15 hours</w:t></w:r></w:p></w:tc><w:tc><w:tcPr><w:tcW w:type="dxa" w:w="2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High</w:t></w:r></w:p></w:tc></w:tr><w:tr><w:trPr><w:tblHeader w:val="false"/></w:trPr><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4. Presentation</w:t></w:r></w:p></w:tc><w:tc><w:tcPr><w:tcW w:type="dxa" w:w="37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Manually build PowerPoint: paste charts, write narrative, format to brand</w:t></w:r></w:p></w:tc><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5–15 hours</w:t></w:r></w:p></w:tc><w:tc><w:tcPr><w:tcW w:type="dxa" w:w="2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EXTREME</w:t></w:r></w:p></w:tc></w:tr><w:tr><w:trPr><w:tblHeader w:val="false"/></w:trPr><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5. Review &amp; Iterate</w:t></w:r></w:p></w:tc><w:tc><w:tcPr><w:tcW w:type="dxa" w:w="37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Manager feedback, revisions, re-formatting</w:t></w:r></w:p></w:tc><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3–5 hours</w:t></w:r></w:p></w:tc><w:tc><w:tcPr><w:tcW w:type="dxa" w:w="2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High</w:t></w:r></w:p></w:tc></w:tr><w:tr><w:trPr><w:tblHeader w:val="false"/></w:trPr><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TOTAL</w:t></w:r></w:p></w:tc><w:tc><w:tcPr><w:tcW w:type="dxa" w:w="37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w:t></w:r></w:p></w:tc><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20–42 hours per deck</w:t></w:r></w:p></w:tc><w:tc><w:tcPr><w:tcW w:type="dxa" w:w="2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w:t></w:r></w:p></w:tc></w:tr></w:tbl><w:p><w:pPr><w:spacing w:after="80"/></w:pPr></w:p><w:p><w:pPr><w:spacing w:after="120" w:line="276"/></w:pPr><w:r><w:rPr><w:rFonts w:ascii="Arial" w:cs="Arial" w:eastAsia="Arial" w:hAnsi="Arial"/><w:color w:val="222222"/><w:sz w:val="20"/><w:szCs w:val="20"/></w:rPr><w:t xml:space="preserve">Stage 4 (Presentation) is the bottleneck that Basquio eliminates. BI tools and data platforms are solving stages 1–3. But NOBODY is solving “take this analyzed syndicated data and turn it into a branded, narrative-driven, executive-ready insight deck.” That’s Basquio.</w:t></w:r></w:p><w:p><w:pPr><w:spacing w:after="80"/></w:pPr></w:p><w:p><w:pPr><w:pStyle w:val="Heading2"/><w:spacing w:after="160" w:before="280"/></w:pPr><w:r><w:rPr><w:rFonts w:ascii="Arial" w:cs="Arial" w:eastAsia="Arial" w:hAnsi="Arial"/><w:b/><w:bCs/><w:color w:val="2E5FA1"/><w:sz w:val="26"/><w:szCs w:val="26"/></w:rPr><w:t xml:space="preserve">3.2 The Basquio Workflow (What You’re Selling)</w:t></w:r></w:p><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3760"/><w:gridCol w:w="1800"/><w:gridCol w:w="2000"/></w:tblGrid><w:tr><w:trPr><w:tblHeader/></w:trPr><w:tc><w:tcPr><w:tcW w:type="dxa" w:w="18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Stage</w:t></w:r></w:p></w:tc><w:tc><w:tcPr><w:tcW w:type="dxa" w:w="376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Basquio Process</w:t></w:r></w:p></w:tc><w:tc><w:tcPr><w:tcW w:type="dxa" w:w="18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Time</w:t></w:r></w:p></w:tc><w:tc><w:tcPr><w:tcW w:type="dxa" w:w="20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Improvement</w:t></w:r></w:p></w:tc></w:tr><w:tr><w:trPr><w:tblHeader w:val="false"/></w:trPr><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 Upload</w:t></w:r></w:p></w:tc><w:tc><w:tcPr><w:tcW w:type="dxa" w:w="37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Upload NielsenIQ/Circana data exports + internal data + report brief</w:t></w:r></w:p></w:tc><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5 minutes</w:t></w:r></w:p></w:tc><w:tc><w:tcPr><w:tcW w:type="dxa" w:w="20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w:t></w:r></w:p></w:tc></w:tr><w:tr><w:trPr><w:tblHeader w:val="false"/></w:trPr><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2. Intelligence</w:t></w:r></w:p></w:tc><w:tc><w:tcPr><w:tcW w:type="dxa" w:w="37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Basquio profiles the data, computes metrics, ranks insights, plans narrative</w:t></w:r></w:p></w:tc><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2–5 minutes (automated)</w:t></w:r></w:p></w:tc><w:tc><w:tcPr><w:tcW w:type="dxa" w:w="20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Replaces 8–15 hrs of analysis</w:t></w:r></w:p></w:tc></w:tr><w:tr><w:trPr><w:tblHeader w:val="false"/></w:trPr><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3. Render</w:t></w:r></w:p></w:tc><w:tc><w:tcPr><w:tcW w:type="dxa" w:w="37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Branded PPTX + polished PDF from structured SlideSpec[]</w:t></w:r></w:p></w:tc><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1–2 minutes (automated)</w:t></w:r></w:p></w:tc><w:tc><w:tcPr><w:tcW w:type="dxa" w:w="20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Replaces 5–15 hrs of PPT work</w:t></w:r></w:p></w:tc></w:tr><w:tr><w:trPr><w:tblHeader w:val="false"/></w:trPr><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4. Review</w:t></w:r></w:p></w:tc><w:tc><w:tcPr><w:tcW w:type="dxa" w:w="37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Human reviews AI-generated deck, makes minor edits in PowerPoint</w:t></w:r></w:p></w:tc><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15–30 minutes</w:t></w:r></w:p></w:tc><w:tc><w:tcPr><w:tcW w:type="dxa" w:w="20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Replaces 3–5 hrs of iteration</w:t></w:r></w:p></w:tc></w:tr><w:tr><w:trPr><w:tblHeader w:val="false"/></w:trPr><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TOTAL</w:t></w:r></w:p></w:tc><w:tc><w:tcPr><w:tcW w:type="dxa" w:w="37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w:t></w:r></w:p></w:tc><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30–45 minutes</w:t></w:r></w:p></w:tc><w:tc><w:tcPr><w:tcW w:type="dxa" w:w="20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95% time reduction</w:t></w:r></w:p></w:tc></w:tr></w:tbl><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D7D46" w:sz="6"/><w:left w:val="single" w:color="E0E0E0" w:sz="1"/><w:bottom w:val="single" w:color="E0E0E0" w:sz="1"/><w:right w:val="single" w:color="E0E0E0" w:sz="1"/></w:tcBorders><w:shd w:fill="F8FAFC" w:val="clear"/><w:tcMar><w:top w:type="dxa" w:w="120"/><w:left w:type="dxa" w:w="160"/><w:bottom w:type="dxa" w:w="120"/><w:right w:type="dxa" w:w="160"/></w:tcMar></w:tcPr><w:p><w:pPr><w:spacing w:after="60"/></w:pPr><w:r><w:rPr><w:rFonts w:ascii="Arial" w:cs="Arial" w:eastAsia="Arial" w:hAnsi="Arial"/><w:b/><w:bCs/><w:color w:val="2D7D46"/><w:sz w:val="22"/><w:szCs w:val="22"/></w:rPr><w:t xml:space="preserve">THE VALUE PROPOSITION</w:t></w:r></w:p><w:p><w:pPr><w:spacing w:after="0"/></w:pPr><w:r><w:rPr><w:rFonts w:ascii="Arial" w:cs="Arial" w:eastAsia="Arial" w:hAnsi="Arial"/><w:color w:val="222222"/><w:sz w:val="20"/><w:szCs w:val="20"/></w:rPr><w:t xml:space="preserve">From 20–42 hours to 30–45 minutes. One NielsenIQ analyst producing 4 category decks per month saves 80–168 hours monthly. At a blended analyst cost of $75/hour, that’s $6,000–$12,600/month in time savings PER ANALYST. A team license at $5,000/analyst/year ($417/month) delivers 15–30x ROI.</w:t></w:r></w:p></w:tc></w:tr></w:tbl><w:p><w:r><w:br w:type="page"/></w:r></w:p><w:p><w:pPr><w:pStyle w:val="Heading1"/><w:spacing w:after="200" w:before="360"/></w:pPr><w:r><w:rPr><w:rFonts w:ascii="Arial" w:cs="Arial" w:eastAsia="Arial" w:hAnsi="Arial"/><w:b/><w:bCs/><w:color w:val="1B2A4A"/><w:sz w:val="32"/><w:szCs w:val="32"/></w:rPr><w:t xml:space="preserve">4. Go-to-Market Playbook: The First 90 Days</w:t></w:r></w:p><w:p><w:pPr><w:spacing w:after="80"/></w:pPr></w:p><w:p><w:pPr><w:spacing w:after="120" w:line="276"/></w:pPr><w:r><w:rPr><w:rFonts w:ascii="Arial" w:cs="Arial" w:eastAsia="Arial" w:hAnsi="Arial"/><w:color w:val="222222"/><w:sz w:val="20"/><w:szCs w:val="20"/></w:rPr><w:t xml:space="preserve">Here’s the exact sequence of actions to generate revenue as fast as possible, leveraging your team’s unique position.</w:t></w:r></w:p><w:p><w:pPr><w:spacing w:after="80"/></w:pPr></w:p><w:p><w:pPr><w:pStyle w:val="Heading2"/><w:spacing w:after="160" w:before="280"/></w:pPr><w:r><w:rPr><w:rFonts w:ascii="Arial" w:cs="Arial" w:eastAsia="Arial" w:hAnsi="Arial"/><w:b/><w:bCs/><w:color w:val="2E5FA1"/><w:sz w:val="26"/><w:szCs w:val="26"/></w:rPr><w:t xml:space="preserve">4.1 Week 1–2: Eat Your Own Dog Food</w:t></w:r></w:p><w:p><w:pPr><w:spacing w:after="80"/></w:pPr></w:p><0/><w:p><w:pPr><w:spacing w:after="80"/></w:pPr></w:p><w:p><w:pPr><w:pStyle w:val="Heading2"/><w:spacing w:after="160" w:before="280"/></w:pPr><w:r><w:rPr><w:rFonts w:ascii="Arial" w:cs="Arial" w:eastAsia="Arial" w:hAnsi="Arial"/><w:b/><w:bCs/><w:color w:val="2E5FA1"/><w:sz w:val="26"/><w:szCs w:val="26"/></w:rPr><w:t xml:space="preserve">4.2 Week 3–4: First External Users (Warm Network)</w:t></w:r></w:p><w:p><w:pPr><w:spacing w:after="80"/></w:pPr></w:p><0/><w:p><w:pPr><w:spacing w:after="80"/></w:pPr></w:p><w:p><w:pPr><w:pStyle w:val="Heading2"/><w:spacing w:after="160" w:before="280"/></w:pPr><w:r><w:rPr><w:rFonts w:ascii="Arial" w:cs="Arial" w:eastAsia="Arial" w:hAnsi="Arial"/><w:b/><w:bCs/><w:color w:val="2E5FA1"/><w:sz w:val="26"/><w:szCs w:val="26"/></w:rPr><w:t xml:space="preserve">4.3 Week 5–8: Convert to Paid + First Team Deals</w:t></w:r></w:p><w:p><w:pPr><w:spacing w:after="80"/></w:pPr></w:p><0/><w:p><w:pPr><w:spacing w:after="80"/></w:pPr></w:p><w:p><w:pPr><w:pStyle w:val="Heading2"/><w:spacing w:after="160" w:before="280"/></w:pPr><w:r><w:rPr><w:rFonts w:ascii="Arial" w:cs="Arial" w:eastAsia="Arial" w:hAnsi="Arial"/><w:b/><w:bCs/><w:color w:val="2E5FA1"/><w:sz w:val="26"/><w:szCs w:val="26"/></w:rPr><w:t xml:space="preserve">4.4 Month 3: Scale Within the Vertical</w:t></w:r></w:p><w:p><w:pPr><w:spacing w:after="80"/></w:pPr></w:p><0/><w:p><w:r><w:br w:type="page"/></w:r></w:p><w:p><w:pPr><w:pStyle w:val="Heading1"/><w:spacing w:after="200" w:before="360"/></w:pPr><w:r><w:rPr><w:rFonts w:ascii="Arial" w:cs="Arial" w:eastAsia="Arial" w:hAnsi="Arial"/><w:b/><w:bCs/><w:color w:val="1B2A4A"/><w:sz w:val="32"/><w:szCs w:val="32"/></w:rPr><w:t xml:space="preserve">5. Pricing Strategy</w:t></w:r></w:p><w:p><w:pPr><w:spacing w:after="80"/></w:pPr></w:p><w:p><w:pPr><w:spacing w:after="120" w:line="276"/></w:pPr><w:r><w:rPr><w:rFonts w:ascii="Arial" w:cs="Arial" w:eastAsia="Arial" w:hAnsi="Arial"/><w:color w:val="222222"/><w:sz w:val="20"/><w:szCs w:val="20"/></w:rPr><w:t xml:space="preserve">Your pricing should reflect the value you deliver (analyst time savings), not what generic AI tools charge. Basquio is not competing with Gamma at $8/month. It’s competing with the $75/hour cost of a market research analyst doing manual report assembly.</w:t></w:r></w:p><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1600"/><w:gridCol w:w="1800"/><w:gridCol w:w="2560"/><w:gridCol w:w="2200"/></w:tblGrid><w:tr><w:trPr><w:tblHeader/></w:trPr><w:tc><w:tcPr><w:tcW w:type="dxa" w:w="12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Tier</w:t></w:r></w:p></w:tc><w:tc><w:tcPr><w:tcW w:type="dxa" w:w="16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Price</w:t></w:r></w:p></w:tc><w:tc><w:tcPr><w:tcW w:type="dxa" w:w="18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Target User</w:t></w:r></w:p></w:tc><w:tc><w:tcPr><w:tcW w:type="dxa" w:w="256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What’s Included</w:t></w:r></w:p></w:tc><w:tc><w:tcPr><w:tcW w:type="dxa" w:w="22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Revenue Math</w:t></w:r></w:p></w:tc></w:tr><w:tr><w:trPr><w:tblHeader w:val="false"/></w:trPr><w:tc><w:tcPr><w:tcW w:type="dxa" w:w="12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Explorer</w:t></w:r></w:p></w:tc><w:tc><w:tcPr><w:tcW w:type="dxa" w:w="16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Free</w:t></w:r></w:p></w:tc><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Individual analysts trying it out</w:t></w:r></w:p></w:tc><w:tc><w:tcPr><w:tcW w:type="dxa" w:w="25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3 reports/month, watermarked, basic templates</w:t></w:r></w:p></w:tc><w:tc><w:tcPr><w:tcW w:type="dxa" w:w="22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Funnel feeder</w:t></w:r></w:p></w:tc></w:tr><w:tr><w:trPr><w:tblHeader w:val="false"/></w:trPr><w:tc><w:tcPr><w:tcW w:type="dxa" w:w="12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Pro</w:t></w:r></w:p></w:tc><w:tc><w:tcPr><w:tcW w:type="dxa" w:w="16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$29/month ($290/year)</w:t></w:r></w:p></w:tc><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Individual analysts, freelance consultants</w:t></w:r></w:p></w:tc><w:tc><w:tcPr><w:tcW w:type="dxa" w:w="25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Unlimited reports, PPTX + PDF, custom branding, NielsenIQ/Circana data parsing</w:t></w:r></w:p></w:tc><w:tc><w:tcPr><w:tcW w:type="dxa" w:w="22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1,000 users = $290K ARR</w:t></w:r></w:p></w:tc></w:tr><w:tr><w:trPr><w:tblHeader w:val="false"/></w:trPr><w:tc><w:tcPr><w:tcW w:type="dxa" w:w="12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Team</w:t></w:r></w:p></w:tc><w:tc><w:tcPr><w:tcW w:type="dxa" w:w="16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$5,000/analyst/year ($417/mo)</w:t></w:r></w:p></w:tc><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Market research teams (5–20 people)</w:t></w:r></w:p></w:tc><w:tc><w:tcPr><w:tcW w:type="dxa" w:w="25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Collaboration, shared templates, brand systems, priority support, API access</w:t></w:r></w:p></w:tc><w:tc><w:tcPr><w:tcW w:type="dxa" w:w="22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100 teams × 8 analysts = $4M ARR</w:t></w:r></w:p></w:tc></w:tr><w:tr><w:trPr><w:tblHeader w:val="false"/></w:trPr><w:tc><w:tcPr><w:tcW w:type="dxa" w:w="12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Enterprise</w:t></w:r></w:p></w:tc><w:tc><w:tcPr><w:tcW w:type="dxa" w:w="16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$40K–100K+/year</w:t></w:r></w:p></w:tc><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Fortune 500 CPG, large research firms</w:t></w:r></w:p></w:tc><w:tc><w:tcPr><w:tcW w:type="dxa" w:w="25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Unlimited, SSO, custom integrations, SLA, dedicated CSM, SOC 2</w:t></w:r></w:p></w:tc><w:tc><w:tcPr><w:tcW w:type="dxa" w:w="22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50 enterprises = $2.5–5M ARR</w:t></w:r></w:p></w:tc></w:tr></w:tbl><w:p><w:pPr><w:spacing w:after="80"/></w:pPr></w:p><w:p><w:pPr><w:spacing w:after="120" w:line="276"/></w:pPr><w:r><w:rPr><w:rFonts w:ascii="Arial" w:cs="Arial" w:eastAsia="Arial" w:hAnsi="Arial"/><w:color w:val="222222"/><w:sz w:val="20"/><w:szCs w:val="20"/></w:rPr><w:t xml:space="preserve">Notice the jump from Pro ($29/month) to Team ($417/month/analyst). This is intentional. The Pro tier is for discovery and individual adoption. The Team tier is where the real revenue lives, and it’s priced against analyst time savings ($6,000–12,600/month per analyst), not against other SaaS tools.</w:t></w:r></w:p><w:p><w:pPr><w:spacing w:after="80"/></w:pPr></w:p><w:p><w:pPr><w:pStyle w:val="Heading2"/><w:spacing w:after="160" w:before="280"/></w:pPr><w:r><w:rPr><w:rFonts w:ascii="Arial" w:cs="Arial" w:eastAsia="Arial" w:hAnsi="Arial"/><w:b/><w:bCs/><w:color w:val="2E5FA1"/><w:sz w:val="26"/><w:szCs w:val="26"/></w:rPr><w:t xml:space="preserve">5.1 Revenue Scenarios (12 Months)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600"/><w:gridCol w:w="1400"/><w:gridCol w:w="2000"/><w:gridCol w:w="1800"/><w:gridCol w:w="2560"/></w:tblGrid><w:tr><w:trPr><w:tblHeader/></w:trPr><w:tc><w:tcPr><w:tcW w:type="dxa" w:w="16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Scenario</w:t></w:r></w:p></w:tc><w:tc><w:tcPr><w:tcW w:type="dxa" w:w="14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Pro Users</w:t></w:r></w:p></w:tc><w:tc><w:tcPr><w:tcW w:type="dxa" w:w="20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Team Accounts</w:t></w:r></w:p></w:tc><w:tc><w:tcPr><w:tcW w:type="dxa" w:w="18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Enterprise</w:t></w:r></w:p></w:tc><w:tc><w:tcPr><w:tcW w:type="dxa" w:w="256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Total ARR</w:t></w:r></w:p></w:tc></w:tr><w:tr><w:trPr><w:tblHeader w:val="false"/></w:trPr><w:tc><w:tcPr><w:tcW w:type="dxa" w:w="16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Conservative</w:t></w:r></w:p></w:tc><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200</w:t></w:r></w:p></w:tc><w:tc><w:tcPr><w:tcW w:type="dxa" w:w="20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15 (avg 6 analysts)</w:t></w:r></w:p></w:tc><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$0</w:t></w:r></w:p></w:tc><w:tc><w:tcPr><w:tcW w:type="dxa" w:w="25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$508K</w:t></w:r></w:p></w:tc></w:tr><w:tr><w:trPr><w:tblHeader w:val="false"/></w:trPr><w:tc><w:tcPr><w:tcW w:type="dxa" w:w="16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Base Case</w:t></w:r></w:p></w:tc><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500</w:t></w:r></w:p></w:tc><w:tc><w:tcPr><w:tcW w:type="dxa" w:w="20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40 (avg 8 analysts)</w:t></w:r></w:p></w:tc><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3 ($60K avg)</w:t></w:r></w:p></w:tc><w:tc><w:tcPr><w:tcW w:type="dxa" w:w="25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$1.93M</w:t></w:r></w:p></w:tc></w:tr><w:tr><w:trPr><w:tblHeader w:val="false"/></w:trPr><w:tc><w:tcPr><w:tcW w:type="dxa" w:w="16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Aggressive</w:t></w:r></w:p></w:tc><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1,000</w:t></w:r></w:p></w:tc><w:tc><w:tcPr><w:tcW w:type="dxa" w:w="20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80 (avg 10 analysts)</w:t></w:r></w:p></w:tc><w:tc><w:tcPr><w:tcW w:type="dxa" w:w="18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8 ($80K avg)</w:t></w:r></w:p></w:tc><w:tc><w:tcPr><w:tcW w:type="dxa" w:w="25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$4.93M</w:t></w:r></w:p></w:tc></w:tr><w:tr><w:trPr><w:tblHeader w:val="false"/></w:trPr><w:tc><w:tcPr><w:tcW w:type="dxa" w:w="16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Bull Case</w:t></w:r></w:p></w:tc><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2,000</w:t></w:r></w:p></w:tc><w:tc><w:tcPr><w:tcW w:type="dxa" w:w="20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150 (avg 10 analysts)</w:t></w:r></w:p></w:tc><w:tc><w:tcPr><w:tcW w:type="dxa" w:w="18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15 ($100K avg)</w:t></w:r></w:p></w:tc><w:tc><w:tcPr><w:tcW w:type="dxa" w:w="25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$9.58M</w:t></w:r></w:p></w:tc></w:tr></w:tbl><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D7D46" w:sz="6"/><w:left w:val="single" w:color="E0E0E0" w:sz="1"/><w:bottom w:val="single" w:color="E0E0E0" w:sz="1"/><w:right w:val="single" w:color="E0E0E0" w:sz="1"/></w:tcBorders><w:shd w:fill="F8FAFC" w:val="clear"/><w:tcMar><w:top w:type="dxa" w:w="120"/><w:left w:type="dxa" w:w="160"/><w:bottom w:type="dxa" w:w="120"/><w:right w:type="dxa" w:w="160"/></w:tcMar></w:tcPr><w:p><w:pPr><w:spacing w:after="60"/></w:pPr><w:r><w:rPr><w:rFonts w:ascii="Arial" w:cs="Arial" w:eastAsia="Arial" w:hAnsi="Arial"/><w:b/><w:bCs/><w:color w:val="2D7D46"/><w:sz w:val="22"/><w:szCs w:val="22"/></w:rPr><w:t xml:space="preserve">TARGET</w:t></w:r></w:p><w:p><w:pPr><w:spacing w:after="0"/></w:pPr><w:r><w:rPr><w:rFonts w:ascii="Arial" w:cs="Arial" w:eastAsia="Arial" w:hAnsi="Arial"/><w:color w:val="222222"/><w:sz w:val="20"/><w:szCs w:val="20"/></w:rPr><w:t xml:space="preserve">Base case: $2M ARR within 12 months. This requires ~40 team accounts and ~500 individual Pro users. Given your warm network of 200–500 potential users and 30–80 potential accounts, this is achievable with strong execution and modest outbound expansion.</w:t></w:r></w:p></w:tc></w:tr></w:tbl><w:p><w:r><w:br w:type="page"/></w:r></w:p><w:p><w:pPr><w:pStyle w:val="Heading1"/><w:spacing w:after="200" w:before="360"/></w:pPr><w:r><w:rPr><w:rFonts w:ascii="Arial" w:cs="Arial" w:eastAsia="Arial" w:hAnsi="Arial"/><w:b/><w:bCs/><w:color w:val="1B2A4A"/><w:sz w:val="32"/><w:szCs w:val="32"/></w:rPr><w:t xml:space="preserve">6. Product Priorities for GTM</w:t></w:r></w:p><w:p><w:pPr><w:spacing w:after="80"/></w:pPr></w:p><w:p><w:pPr><w:spacing w:after="120" w:line="276"/></w:pPr><w:r><w:rPr><w:rFonts w:ascii="Arial" w:cs="Arial" w:eastAsia="Arial" w:hAnsi="Arial"/><w:color w:val="222222"/><w:sz w:val="20"/><w:szCs w:val="20"/></w:rPr><w:t xml:space="preserve">Not everything in the Basquio architecture matters equally for the first 90 days of revenue. Here’s what to ship first, prioritized by revenue impact.</w:t></w:r></w:p><w:p><w:pPr><w:spacing w:after="80"/></w:pPr></w:p><w:p><w:pPr><w:pStyle w:val="Heading2"/><w:spacing w:after="160" w:before="280"/></w:pPr><w:r><w:rPr><w:rFonts w:ascii="Arial" w:cs="Arial" w:eastAsia="Arial" w:hAnsi="Arial"/><w:b/><w:bCs/><w:color w:val="2E5FA1"/><w:sz w:val="26"/><w:szCs w:val="26"/></w:rPr><w:t xml:space="preserve">6.1 Must-Have for Launch (Week 1–4)</w:t></w:r></w:p><w:p><w:pPr><w:spacing w:after="80"/></w:pPr></w:p><0/><w:p><w:pPr><w:spacing w:after="80"/></w:pPr></w:p><w:p><w:pPr><w:pStyle w:val="Heading2"/><w:spacing w:after="160" w:before="280"/></w:pPr><w:r><w:rPr><w:rFonts w:ascii="Arial" w:cs="Arial" w:eastAsia="Arial" w:hAnsi="Arial"/><w:b/><w:bCs/><w:color w:val="2E5FA1"/><w:sz w:val="26"/><w:szCs w:val="26"/></w:rPr><w:t xml:space="preserve">6.2 Must-Have for Team Tier (Month 2–3)</w:t></w:r></w:p><w:p><w:pPr><w:spacing w:after="80"/></w:pPr></w:p><0/><w:p><w:pPr><w:spacing w:after="80"/></w:pPr></w:p><w:p><w:pPr><w:pStyle w:val="Heading2"/><w:spacing w:after="160" w:before="280"/></w:pPr><w:r><w:rPr><w:rFonts w:ascii="Arial" w:cs="Arial" w:eastAsia="Arial" w:hAnsi="Arial"/><w:b/><w:bCs/><w:color w:val="2E5FA1"/><w:sz w:val="26"/><w:szCs w:val="26"/></w:rPr><w:t xml:space="preserve">6.3 Nice-to-Have (Month 4–6)</w:t></w:r></w:p><w:p><w:pPr><w:spacing w:after="80"/></w:pPr></w:p><w:p><w:pPr><w:pStyle w:val="ListParagraph"/><w:numPr><w:ilvl w:val="0"/><w:numId w:val="2"/></w:numPr><w:spacing w:after="60" w:line="276"/></w:pPr><w:r><w:rPr><w:rFonts w:ascii="Arial" w:cs="Arial" w:eastAsia="Arial" w:hAnsi="Arial"/><w:color w:val="222222"/><w:sz w:val="20"/><w:szCs w:val="20"/></w:rPr><w:t xml:space="preserve">Kantar data format support</w:t></w:r></w:p><w:p><w:pPr><w:pStyle w:val="ListParagraph"/><w:numPr><w:ilvl w:val="0"/><w:numId w:val="2"/></w:numPr><w:spacing w:after="60" w:line="276"/></w:pPr><w:r><w:rPr><w:rFonts w:ascii="Arial" w:cs="Arial" w:eastAsia="Arial" w:hAnsi="Arial"/><w:color w:val="222222"/><w:sz w:val="20"/><w:szCs w:val="20"/></w:rPr><w:t xml:space="preserve">API for scheduled/recurring report generation</w:t></w:r></w:p><w:p><w:pPr><w:pStyle w:val="ListParagraph"/><w:numPr><w:ilvl w:val="0"/><w:numId w:val="2"/></w:numPr><w:spacing w:after="60" w:line="276"/></w:pPr><w:r><w:rPr><w:rFonts w:ascii="Arial" w:cs="Arial" w:eastAsia="Arial" w:hAnsi="Arial"/><w:color w:val="222222"/><w:sz w:val="20"/><w:szCs w:val="20"/></w:rPr><w:t xml:space="preserve">Retailer POS data integration (Walmart, Target direct feeds)</w:t></w:r></w:p><w:p><w:pPr><w:pStyle w:val="ListParagraph"/><w:numPr><w:ilvl w:val="0"/><w:numId w:val="2"/></w:numPr><w:spacing w:after="60" w:line="276"/></w:pPr><w:r><w:rPr><w:rFonts w:ascii="Arial" w:cs="Arial" w:eastAsia="Arial" w:hAnsi="Arial"/><w:color w:val="222222"/><w:sz w:val="20"/><w:szCs w:val="20"/></w:rPr><w:t xml:space="preserve">Competitive benchmarking templates</w:t></w:r></w:p><w:p><w:pPr><w:pStyle w:val="ListParagraph"/><w:numPr><w:ilvl w:val="0"/><w:numId w:val="2"/></w:numPr><w:spacing w:after="60" w:line="276"/></w:pPr><w:r><w:rPr><w:rFonts w:ascii="Arial" w:cs="Arial" w:eastAsia="Arial" w:hAnsi="Arial"/><w:color w:val="222222"/><w:sz w:val="20"/><w:szCs w:val="20"/></w:rPr><w:t xml:space="preserve">Multi-language support (European markets)</w:t></w:r></w:p><w:p><w:pPr><w:pStyle w:val="ListParagraph"/><w:numPr><w:ilvl w:val="0"/><w:numId w:val="2"/></w:numPr><w:spacing w:after="60" w:line="276"/></w:pPr><w:r><w:rPr><w:rFonts w:ascii="Arial" w:cs="Arial" w:eastAsia="Arial" w:hAnsi="Arial"/><w:color w:val="222222"/><w:sz w:val="20"/><w:szCs w:val="20"/></w:rPr><w:t xml:space="preserve">SOC 2 compliance (enterprise requirement)</w:t></w:r></w:p><w:p><w:r><w:br w:type="page"/></w:r></w:p><w:p><w:pPr><w:pStyle w:val="Heading1"/><w:spacing w:after="200" w:before="360"/></w:pPr><w:r><w:rPr><w:rFonts w:ascii="Arial" w:cs="Arial" w:eastAsia="Arial" w:hAnsi="Arial"/><w:b/><w:bCs/><w:color w:val="1B2A4A"/><w:sz w:val="32"/><w:szCs w:val="32"/></w:rPr><w:t xml:space="preserve">7. Co-Founder Role Assignments</w:t></w:r></w:p><w:p><w:pPr><w:spacing w:after="80"/></w:pPr></w:p><w:p><w:pPr><w:spacing w:after="120" w:line="276"/></w:pPr><w:r><w:rPr><w:rFonts w:ascii="Arial" w:cs="Arial" w:eastAsia="Arial" w:hAnsi="Arial"/><w:color w:val="222222"/><w:sz w:val="20"/><w:szCs w:val="20"/></w:rPr><w:t xml:space="preserve">Six co-founders is a lot. The risk is diffusion of responsibility. Here’s how to allocate roles for maximum leverage, assuming everyone keeps their day job initially (except Marco, who builds full-time).</w:t></w:r></w:p><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400"/><w:gridCol w:w="2000"/><w:gridCol w:w="1400"/><w:gridCol w:w="4560"/></w:tblGrid><w:tr><w:trPr><w:tblHeader/></w:trPr><w:tc><w:tcPr><w:tcW w:type="dxa" w:w="14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Co-Founder</w:t></w:r></w:p></w:tc><w:tc><w:tcPr><w:tcW w:type="dxa" w:w="20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Role</w:t></w:r></w:p></w:tc><w:tc><w:tcPr><w:tcW w:type="dxa" w:w="140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Time Commitment</w:t></w:r></w:p></w:tc><w:tc><w:tcPr><w:tcW w:type="dxa" w:w="4560"/><w:tcBorders><w:top w:val="single" w:color="E0E0E0" w:sz="1"/><w:left w:val="single" w:color="E0E0E0" w:sz="1"/><w:bottom w:val="single" w:color="E0E0E0" w:sz="1"/><w:right w:val="single" w:color="E0E0E0" w:sz="1"/></w:tcBorders><w:shd w:fill="1B2A4A" w:val="clear"/><w:tcMar><w:top w:type="dxa" w:w="60"/><w:left w:type="dxa" w:w="100"/><w:bottom w:type="dxa" w:w="60"/><w:right w:type="dxa" w:w="100"/></w:tcMar></w:tcPr><w:p><w:pPr><w:spacing w:after="0"/></w:pPr><w:r><w:rPr><w:rFonts w:ascii="Arial" w:cs="Arial" w:eastAsia="Arial" w:hAnsi="Arial"/><w:b/><w:bCs/><w:color w:val="FFFFFF"/><w:sz w:val="18"/><w:szCs w:val="18"/></w:rPr><w:t xml:space="preserve">Key Deliverables (First 90 Days)</w:t></w:r></w:p></w:tc></w:tr><w:tr><w:trPr><w:tblHeader w:val="false"/></w:trPr><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Marco</w:t></w:r></w:p></w:tc><w:tc><w:tcPr><w:tcW w:type="dxa" w:w="20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CEO + CTO (full-time)</w:t></w:r></w:p></w:tc><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Full-time</w:t></w:r></w:p></w:tc><w:tc><w:tcPr><w:tcW w:type="dxa" w:w="45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Ship product, manage architecture, fundraise, hire first 2–3 people</w:t></w:r></w:p></w:tc></w:tr><w:tr><w:trPr><w:tblHeader w:val="false"/></w:trPr><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Marco’s wife</w:t></w:r></w:p></w:tc><w:tc><w:tcPr><w:tcW w:type="dxa" w:w="20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Head of Brand &amp; Design (part-time)</w:t></w:r></w:p></w:tc><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10–15 hrs/week</w:t></w:r></w:p></w:tc><w:tc><w:tcPr><w:tcW w:type="dxa" w:w="45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Define brand system, review output quality, manage Victorinox pilot, design brand token templates</w:t></w:r></w:p></w:tc></w:tr><w:tr><w:trPr><w:tblHeader w:val="false"/></w:trPr><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Giulia</w:t></w:r></w:p></w:tc><w:tc><w:tcPr><w:tcW w:type="dxa" w:w="20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Head of Product (part-time)</w:t></w:r></w:p></w:tc><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10–15 hrs/week</w:t></w:r></w:p></w:tc><w:tc><w:tcPr><w:tcW w:type="dxa" w:w="45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Define output quality bar, manage Mondelez pilot, write product requirements from buyer perspective, attend sales calls as “the buyer who helped build this”</w:t></w:r></w:p></w:tc></w:tr><w:tr><w:trPr><w:tblHeader w:val="false"/></w:trPr><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Alessandro</w:t></w:r></w:p></w:tc><w:tc><w:tcPr><w:tcW w:type="dxa" w:w="20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Head of Data &amp; Integrations (part-time)</w:t></w:r></w:p></w:tc><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10–15 hrs/week</w:t></w:r></w:p></w:tc><w:tc><w:tcPr><w:tcW w:type="dxa" w:w="45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Define NielsenIQ data parsing requirements, build Circana support specs, validate analytics pipeline accuracy, QA every data-driven feature</w:t></w:r></w:p></w:tc></w:tr><w:tr><w:trPr><w:tblHeader w:val="false"/></w:trPr><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Rossella</w:t></w:r></w:p></w:tc><w:tc><w:tcPr><w:tcW w:type="dxa" w:w="20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Head of Growth &amp; Community (part-time)</w:t></w:r></w:p></w:tc><w:tc><w:tcPr><w:tcW w:type="dxa" w:w="140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10–15 hrs/week</w:t></w:r></w:p></w:tc><w:tc><w:tcPr><w:tcW w:type="dxa" w:w="4560"/><w:tcBorders><w:top w:val="single" w:color="E0E0E0" w:sz="1"/><w:left w:val="single" w:color="E0E0E0" w:sz="1"/><w:bottom w:val="single" w:color="E0E0E0" w:sz="1"/><w:right w:val="single" w:color="E0E0E0" w:sz="1"/></w:tcBorders><w:shd w:fill="FFFFFF"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Manage NielsenIQ analyst community, coordinate Product Hunt launch, write LinkedIn content, manage design partner program</w:t></w:r></w:p></w:tc></w:tr><w:tr><w:trPr><w:tblHeader w:val="false"/></w:trPr><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Francesco</w:t></w:r></w:p></w:tc><w:tc><w:tcPr><w:tcW w:type="dxa" w:w="20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Head of Sales &amp; Partnerships (part-time)</w:t></w:r></w:p></w:tc><w:tc><w:tcPr><w:tcW w:type="dxa" w:w="140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10–15 hrs/week</w:t></w:r></w:p></w:tc><w:tc><w:tcPr><w:tcW w:type="dxa" w:w="4560"/><w:tcBorders><w:top w:val="single" w:color="E0E0E0" w:sz="1"/><w:left w:val="single" w:color="E0E0E0" w:sz="1"/><w:bottom w:val="single" w:color="E0E0E0" w:sz="1"/><w:right w:val="single" w:color="E0E0E0" w:sz="1"/></w:tcBorders><w:shd w:fill="F5F5F5" w:val="clear"/><w:tcMar><w:top w:type="dxa" w:w="60"/><w:left w:type="dxa" w:w="100"/><w:bottom w:type="dxa" w:w="60"/><w:right w:type="dxa" w:w="100"/></w:tcMar></w:tcPr><w:p><w:pPr><w:spacing w:after="0"/></w:pPr><w:r><w:rPr><w:rFonts w:ascii="Arial" w:cs="Arial" w:eastAsia="Arial" w:hAnsi="Arial"/><w:b w:val="false"/><w:bCs w:val="false"/><w:color w:val="222222"/><w:sz w:val="18"/><w:szCs w:val="18"/></w:rPr><w:t xml:space="preserve">Run NielsenIQ outreach pipeline, close first team deals, build partnership pipeline with research agencies, attend industry events</w:t></w:r></w:p></w:tc></w:tr></w:tbl><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B2A4A" w:sz="6"/><w:left w:val="single" w:color="E0E0E0" w:sz="1"/><w:bottom w:val="single" w:color="E0E0E0" w:sz="1"/><w:right w:val="single" w:color="E0E0E0" w:sz="1"/></w:tcBorders><w:shd w:fill="F8FAFC" w:val="clear"/><w:tcMar><w:top w:type="dxa" w:w="120"/><w:left w:type="dxa" w:w="160"/><w:bottom w:type="dxa" w:w="120"/><w:right w:type="dxa" w:w="160"/></w:tcMar></w:tcPr><w:p><w:pPr><w:spacing w:after="60"/></w:pPr><w:r><w:rPr><w:rFonts w:ascii="Arial" w:cs="Arial" w:eastAsia="Arial" w:hAnsi="Arial"/><w:b/><w:bCs/><w:color w:val="1B2A4A"/><w:sz w:val="22"/><w:szCs w:val="22"/></w:rPr><w:t xml:space="preserve">CRITICAL NOTE</w:t></w:r></w:p><w:p><w:pPr><w:spacing w:after="0"/></w:pPr><w:r><w:rPr><w:rFonts w:ascii="Arial" w:cs="Arial" w:eastAsia="Arial" w:hAnsi="Arial"/><w:color w:val="222222"/><w:sz w:val="20"/><w:szCs w:val="20"/></w:rPr><w:t xml:space="preserve">Five of six co-founders are part-time (keeping day jobs). This is fine for the first 3–6 months. But the fundraise inflection point (seed round) should trigger at least 2–3 co-founders going full-time. Investors need to see commitment. The ideal sequence: Marco full-time from day 1. Francesco (sales) and Alessandro (data) go full-time at seed close. Others transition by Series A.</w:t></w:r></w:p></w:tc></w:tr></w:tbl><w:p><w:pPr><w:spacing w:after="80"/></w:pPr></w:p><w:p><w:pPr><w:pStyle w:val="Heading2"/><w:spacing w:after="160" w:before="280"/></w:pPr><w:r><w:rPr><w:rFonts w:ascii="Arial" w:cs="Arial" w:eastAsia="Arial" w:hAnsi="Arial"/><w:b/><w:bCs/><w:color w:val="2E5FA1"/><w:sz w:val="26"/><w:szCs w:val="26"/></w:rPr><w:t xml:space="preserve">7.1 Equity Considerations</w:t></w:r></w:p><w:p><w:pPr><w:spacing w:after="120" w:line="276"/></w:pPr><w:r><w:rPr><w:rFonts w:ascii="Arial" w:cs="Arial" w:eastAsia="Arial" w:hAnsi="Arial"/><w:color w:val="222222"/><w:sz w:val="20"/><w:szCs w:val="20"/></w:rPr><w:t xml:space="preserve">With 6 co-founders, equity dilution is a real concern. Some principles:</w:t></w:r></w:p><w:p><w:pPr><w:spacing w:after="80"/></w:pPr></w:p><w:p><w:pPr><w:pStyle w:val="ListParagraph"/><w:numPr><w:ilvl w:val="0"/><w:numId w:val="2"/></w:numPr><w:spacing w:after="60" w:line="276"/></w:pPr><w:r><w:rPr><w:rFonts w:ascii="Arial" w:cs="Arial" w:eastAsia="Arial" w:hAnsi="Arial"/><w:b/><w:bCs/><w:color w:val="222222"/><w:sz w:val="20"/><w:szCs w:val="20"/></w:rPr><w:t xml:space="preserve">Full-time vs. part-time: </w:t></w:r><w:r><w:rPr><w:rFonts w:ascii="Arial" w:cs="Arial" w:eastAsia="Arial" w:hAnsi="Arial"/><w:color w:val="222222"/><w:sz w:val="20"/><w:szCs w:val="20"/></w:rPr><w:t xml:space="preserve">Marco (full-time from day 1, building the product) should hold the largest individual share. Part-time co-founders should vest on a 4-year schedule with 1-year cliff.</w:t></w:r></w:p><w:p><w:pPr><w:pStyle w:val="ListParagraph"/><w:numPr><w:ilvl w:val="0"/><w:numId w:val="2"/></w:numPr><w:spacing w:after="60" w:line="276"/></w:pPr><w:r><w:rPr><w:rFonts w:ascii="Arial" w:cs="Arial" w:eastAsia="Arial" w:hAnsi="Arial"/><w:b/><w:bCs/><w:color w:val="222222"/><w:sz w:val="20"/><w:szCs w:val="20"/></w:rPr><w:t xml:space="preserve">Suggested range: </w:t></w:r><w:r><w:rPr><w:rFonts w:ascii="Arial" w:cs="Arial" w:eastAsia="Arial" w:hAnsi="Arial"/><w:color w:val="222222"/><w:sz w:val="20"/><w:szCs w:val="20"/></w:rPr><w:t xml:space="preserve">Marco: 25–35%. Other 5 co-founders: 8–15% each, totaling 40–65% combined. Reserve 15–25% for employee option pool. This is negotiable but the principle is: disproportionate equity for disproportionate risk and time commitment.</w:t></w:r></w:p><w:p><w:pPr><w:pStyle w:val="ListParagraph"/><w:numPr><w:ilvl w:val="0"/><w:numId w:val="2"/></w:numPr><w:spacing w:after="60" w:line="276"/></w:pPr><w:r><w:rPr><w:rFonts w:ascii="Arial" w:cs="Arial" w:eastAsia="Arial" w:hAnsi="Arial"/><w:b/><w:bCs/><w:color w:val="222222"/><w:sz w:val="20"/><w:szCs w:val="20"/></w:rPr><w:t xml:space="preserve">Vesting: </w:t></w:r><w:r><w:rPr><w:rFonts w:ascii="Arial" w:cs="Arial" w:eastAsia="Arial" w:hAnsi="Arial"/><w:color w:val="222222"/><w:sz w:val="20"/><w:szCs w:val="20"/></w:rPr><w:t xml:space="preserve">EVERYONE vests, including Marco. 4-year vesting, 1-year cliff. This protects all co-founders if someone leaves early.</w:t></w:r></w:p><w:p><w:pPr><w:pStyle w:val="ListParagraph"/><w:numPr><w:ilvl w:val="0"/><w:numId w:val="2"/></w:numPr><w:spacing w:after="60" w:line="276"/></w:pPr><w:r><w:rPr><w:rFonts w:ascii="Arial" w:cs="Arial" w:eastAsia="Arial" w:hAnsi="Arial"/><w:b/><w:bCs/><w:color w:val="222222"/><w:sz w:val="20"/><w:szCs w:val="20"/></w:rPr><w:t xml:space="preserve">Get a lawyer: </w:t></w:r><w:r><w:rPr><w:rFonts w:ascii="Arial" w:cs="Arial" w:eastAsia="Arial" w:hAnsi="Arial"/><w:color w:val="222222"/><w:sz w:val="20"/><w:szCs w:val="20"/></w:rPr><w:t xml:space="preserve">Six-person founding teams need a clear shareholders’ agreement from day one. Budget $5–10K for a startup lawyer (or use Clerky/Stripe Atlas to incorporate).</w:t></w:r></w:p><w:p><w:r><w:br w:type="page"/></w:r></w:p><w:p><w:pPr><w:pStyle w:val="Heading1"/><w:spacing w:after="200" w:before="360"/></w:pPr><w:r><w:rPr><w:rFonts w:ascii="Arial" w:cs="Arial" w:eastAsia="Arial" w:hAnsi="Arial"/><w:b/><w:bCs/><w:color w:val="1B2A4A"/><w:sz w:val="32"/><w:szCs w:val="32"/></w:rPr><w:t xml:space="preserve">8. Why Not B2C (And When to Add It)</w:t></w:r></w:p><w:p><w:pPr><w:spacing w:after="80"/></w:pPr></w:p><w:p><w:pPr><w:spacing w:after="120" w:line="276"/></w:pPr><w:r><w:rPr><w:rFonts w:ascii="Arial" w:cs="Arial" w:eastAsia="Arial" w:hAnsi="Arial"/><w:color w:val="222222"/><w:sz w:val="20"/><w:szCs w:val="20"/></w:rPr><w:t xml:space="preserve">You asked about B2C. Here’s the honest answer: B2C is not wrong, it’s just slower to revenue for your specific situation.</w:t></w:r></w:p><w:p><w:pPr><w:spacing w:after="80"/></w:pPr></w:p><w:p><w:pPr><w:pStyle w:val="Heading2"/><w:spacing w:after="160" w:before="280"/></w:pPr><w:r><w:rPr><w:rFonts w:ascii="Arial" w:cs="Arial" w:eastAsia="Arial" w:hAnsi="Arial"/><w:b/><w:bCs/><w:color w:val="2E5FA1"/><w:sz w:val="26"/><w:szCs w:val="26"/></w:rPr><w:t xml:space="preserve">8.1 The B2C Case</w:t></w:r></w:p><w:p><w:pPr><w:pStyle w:val="ListParagraph"/><w:numPr><w:ilvl w:val="0"/><w:numId w:val="2"/></w:numPr><w:spacing w:after="60" w:line="276"/></w:pPr><w:r><w:rPr><w:rFonts w:ascii="Arial" w:cs="Arial" w:eastAsia="Arial" w:hAnsi="Arial"/><w:color w:val="222222"/><w:sz w:val="20"/><w:szCs w:val="20"/></w:rPr><w:t xml:space="preserve">Individual market research analysts, freelance consultants, and independent strategy advisors would pay $29–99/month for a tool that automates report creation.</w:t></w:r></w:p><w:p><w:pPr><w:pStyle w:val="ListParagraph"/><w:numPr><w:ilvl w:val="0"/><w:numId w:val="2"/></w:numPr><w:spacing w:after="60" w:line="276"/></w:pPr><w:r><w:rPr><w:rFonts w:ascii="Arial" w:cs="Arial" w:eastAsia="Arial" w:hAnsi="Arial"/><w:color w:val="222222"/><w:sz w:val="20"/><w:szCs w:val="20"/></w:rPr><w:t xml:space="preserve">PLG distribution: analyst discovers Basquio, signs up, generates a deck, shares it with their team/client, team adopts.</w:t></w:r></w:p><w:p><w:pPr><w:pStyle w:val="ListParagraph"/><w:numPr><w:ilvl w:val="0"/><w:numId w:val="2"/></w:numPr><w:spacing w:after="60" w:line="276"/></w:pPr><w:r><w:rPr><w:rFonts w:ascii="Arial" w:cs="Arial" w:eastAsia="Arial" w:hAnsi="Arial"/><w:color w:val="222222"/><w:sz w:val="20"/><w:szCs w:val="20"/></w:rPr><w:t xml:space="preserve">Lower friction: no procurement, no security review, no committee decision.</w:t></w:r></w:p><w:p><w:pPr><w:pStyle w:val="ListParagraph"/><w:numPr><w:ilvl w:val="0"/><w:numId w:val="2"/></w:numPr><w:spacing w:after="60" w:line="276"/></w:pPr><w:r><w:rPr><w:rFonts w:ascii="Arial" w:cs="Arial" w:eastAsia="Arial" w:hAnsi="Arial"/><w:color w:val="222222"/><w:sz w:val="20"/><w:szCs w:val="20"/></w:rPr><w:t xml:space="preserve">Content marketing + Product Hunt + LinkedIn can drive thousands of signups.</w:t></w:r></w:p><w:p><w:pPr><w:spacing w:after="80"/></w:pPr></w:p><w:p><w:pPr><w:pStyle w:val="Heading2"/><w:spacing w:after="160" w:before="280"/></w:pPr><w:r><w:rPr><w:rFonts w:ascii="Arial" w:cs="Arial" w:eastAsia="Arial" w:hAnsi="Arial"/><w:b/><w:bCs/><w:color w:val="2E5FA1"/><w:sz w:val="26"/><w:szCs w:val="26"/></w:rPr><w:t xml:space="preserve">8.2 Why B2B First</w:t></w:r></w:p><w:p><w:pPr><w:pStyle w:val="ListParagraph"/><w:numPr><w:ilvl w:val="0"/><w:numId w:val="2"/></w:numPr><w:spacing w:after="60" w:line="276"/></w:pPr><w:r><w:rPr><w:rFonts w:ascii="Arial" w:cs="Arial" w:eastAsia="Arial" w:hAnsi="Arial"/><w:color w:val="222222"/><w:sz w:val="20"/><w:szCs w:val="20"/></w:rPr><w:t xml:space="preserve">Your team’s network is B2B. You know team leads, directors, and VPs at NielsenIQ, Mondelez, and Victorinox. You don’t know 10,000 individual analysts.</w:t></w:r></w:p><w:p><w:pPr><w:pStyle w:val="ListParagraph"/><w:numPr><w:ilvl w:val="0"/><w:numId w:val="2"/></w:numPr><w:spacing w:after="60" w:line="276"/></w:pPr><w:r><w:rPr><w:rFonts w:ascii="Arial" w:cs="Arial" w:eastAsia="Arial" w:hAnsi="Arial"/><w:color w:val="222222"/><w:sz w:val="20"/><w:szCs w:val="20"/></w:rPr><w:t xml:space="preserve">Revenue math: 1 team deal ($25–50K ACV) = 70–170 individual Pro subscriptions ($290/year). You close deals faster with your network.</w:t></w:r></w:p><w:p><w:pPr><w:pStyle w:val="ListParagraph"/><w:numPr><w:ilvl w:val="0"/><w:numId w:val="2"/></w:numPr><w:spacing w:after="60" w:line="276"/></w:pPr><w:r><w:rPr><w:rFonts w:ascii="Arial" w:cs="Arial" w:eastAsia="Arial" w:hAnsi="Arial"/><w:color w:val="222222"/><w:sz w:val="20"/><w:szCs w:val="20"/></w:rPr><w:t xml:space="preserve">Product feedback is better from teams. Individual users give you feature requests. Teams give you workflow requirements — which is what builds defensible products.</w:t></w:r></w:p><w:p><w:pPr><w:pStyle w:val="ListParagraph"/><w:numPr><w:ilvl w:val="0"/><w:numId w:val="2"/></w:numPr><w:spacing w:after="60" w:line="276"/></w:pPr><w:r><w:rPr><w:rFonts w:ascii="Arial" w:cs="Arial" w:eastAsia="Arial" w:hAnsi="Arial"/><w:color w:val="222222"/><w:sz w:val="20"/><w:szCs w:val="20"/></w:rPr><w:t xml:space="preserve">Enterprise logos unlock fundraising. “Mondelez uses Basquio” is worth more to investors than “500 individual analysts use Basquio.”</w:t></w:r></w:p><w:p><w:pPr><w:spacing w:after="80"/></w:pPr></w:p><w:p><w:pPr><w:pStyle w:val="Heading2"/><w:spacing w:after="160" w:before="280"/></w:pPr><w:r><w:rPr><w:rFonts w:ascii="Arial" w:cs="Arial" w:eastAsia="Arial" w:hAnsi="Arial"/><w:b/><w:bCs/><w:color w:val="2E5FA1"/><w:sz w:val="26"/><w:szCs w:val="26"/></w:rPr><w:t xml:space="preserve">8.3 When to Layer in B2C</w:t></w:r></w:p><w:p><w:pPr><w:spacing w:after="120" w:line="276"/></w:pPr><w:r><w:rPr><w:rFonts w:ascii="Arial" w:cs="Arial" w:eastAsia="Arial" w:hAnsi="Arial"/><w:color w:val="222222"/><w:sz w:val="20"/><w:szCs w:val="20"/></w:rPr><w:t xml:space="preserve">Month 3–4, after you’ve proven the product with team accounts. Then launch a proper PLG motion:</w:t></w:r></w:p><w:p><w:pPr><w:spacing w:after="80"/></w:pPr></w:p><w:p><w:pPr><w:pStyle w:val="ListParagraph"/><w:numPr><w:ilvl w:val="0"/><w:numId w:val="2"/></w:numPr><w:spacing w:after="60" w:line="276"/></w:pPr><w:r><w:rPr><w:rFonts w:ascii="Arial" w:cs="Arial" w:eastAsia="Arial" w:hAnsi="Arial"/><w:color w:val="222222"/><w:sz w:val="20"/><w:szCs w:val="20"/></w:rPr><w:t xml:space="preserve">Free tier (3 reports/month) drives top-of-funnel</w:t></w:r></w:p><w:p><w:pPr><w:pStyle w:val="ListParagraph"/><w:numPr><w:ilvl w:val="0"/><w:numId w:val="2"/></w:numPr><w:spacing w:after="60" w:line="276"/></w:pPr><w:r><w:rPr><w:rFonts w:ascii="Arial" w:cs="Arial" w:eastAsia="Arial" w:hAnsi="Arial"/><w:color w:val="222222"/><w:sz w:val="20"/><w:szCs w:val="20"/></w:rPr><w:t xml:space="preserve">Pro tier ($29/month) captures individual analysts</w:t></w:r></w:p><w:p><w:pPr><w:pStyle w:val="ListParagraph"/><w:numPr><w:ilvl w:val="0"/><w:numId w:val="2"/></w:numPr><w:spacing w:after="60" w:line="276"/></w:pPr><w:r><w:rPr><w:rFonts w:ascii="Arial" w:cs="Arial" w:eastAsia="Arial" w:hAnsi="Arial"/><w:color w:val="222222"/><w:sz w:val="20"/><w:szCs w:val="20"/></w:rPr><w:t xml:space="preserve">Analysts who love it pull Basquio into their teams (bottom-up adoption)</w:t></w:r></w:p><w:p><w:pPr><w:pStyle w:val="ListParagraph"/><w:numPr><w:ilvl w:val="0"/><w:numId w:val="2"/></w:numPr><w:spacing w:after="60" w:line="276"/></w:pPr><w:r><w:rPr><w:rFonts w:ascii="Arial" w:cs="Arial" w:eastAsia="Arial" w:hAnsi="Arial"/><w:color w:val="222222"/><w:sz w:val="20"/><w:szCs w:val="20"/></w:rPr><w:t xml:space="preserve">This becomes your inbound pipeline for team and enterprise deals</w:t></w:r></w:p><w:p><w:pPr><w:spacing w:after="80"/></w:pPr></w:p><w:p><w:pPr><w:spacing w:after="120" w:line="276"/></w:pPr><w:r><w:rPr><w:rFonts w:ascii="Arial" w:cs="Arial" w:eastAsia="Arial" w:hAnsi="Arial"/><w:color w:val="222222"/><w:sz w:val="20"/><w:szCs w:val="20"/></w:rPr><w:t xml:space="preserve">The correct model is: B2B-first (months 1–3) → Add PLG/B2C layer (months 3–6) → Both flywheels spinning (months 6+). This is how Figma, Notion, and Slack all scaled: enterprise deals for revenue, PLG for distribution.</w:t></w:r></w:p><w:p><w:r><w:br w:type="page"/></w:r></w:p><w:p><w:pPr><w:pStyle w:val="Heading1"/><w:spacing w:after="200" w:before="360"/></w:pPr><w:r><w:rPr><w:rFonts w:ascii="Arial" w:cs="Arial" w:eastAsia="Arial" w:hAnsi="Arial"/><w:b/><w:bCs/><w:color w:val="1B2A4A"/><w:sz w:val="32"/><w:szCs w:val="32"/></w:rPr><w:t xml:space="preserve">9. The Moat Nobody Else Can Build</w:t></w:r></w:p><w:p><w:pPr><w:spacing w:after="80"/></w:pPr></w:p><w:p><w:pPr><w:spacing w:after="120" w:line="276"/></w:pPr><w:r><w:rPr><w:rFonts w:ascii="Arial" w:cs="Arial" w:eastAsia="Arial" w:hAnsi="Arial"/><w:color w:val="222222"/><w:sz w:val="20"/><w:szCs w:val="20"/></w:rPr><w:t xml:space="preserve">Let’s be explicit about why Gamma, Beautiful.ai, NotebookLM, and every other AI presentation tool cannot replicate what Basquio does in this vertical:</w:t></w:r></w:p><w:p><w:pPr><w:spacing w:after="80"/></w:pPr></w:p><0/><w:p><w:pPr><w:spacing w:after="80"/></w:pPr></w:p><w:p><w:pPr><w:pBdr><w:bottom w:val="single" w:color="E0E0E0" w:sz="4" w:space="1"/></w:pBdr><w:spacing w:after="200" w:before="200"/></w:pPr></w:p><w:p><w:pPr><w:spacing w:after="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1B2A4A" w:sz="6"/><w:left w:val="single" w:color="E0E0E0" w:sz="1"/><w:bottom w:val="single" w:color="E0E0E0" w:sz="1"/><w:right w:val="single" w:color="E0E0E0" w:sz="1"/></w:tcBorders><w:shd w:fill="F8FAFC" w:val="clear"/><w:tcMar><w:top w:type="dxa" w:w="120"/><w:left w:type="dxa" w:w="160"/><w:bottom w:type="dxa" w:w="120"/><w:right w:type="dxa" w:w="160"/></w:tcMar></w:tcPr><w:p><w:pPr><w:spacing w:after="60"/></w:pPr><w:r><w:rPr><w:rFonts w:ascii="Arial" w:cs="Arial" w:eastAsia="Arial" w:hAnsi="Arial"/><w:b/><w:bCs/><w:color w:val="1B2A4A"/><w:sz w:val="22"/><w:szCs w:val="22"/></w:rPr><w:t xml:space="preserve">THE 10-WORD STRATEGY</w:t></w:r></w:p><w:p><w:pPr><w:spacing w:after="0"/></w:pPr><w:r><w:rPr><w:rFonts w:ascii="Arial" w:cs="Arial" w:eastAsia="Arial" w:hAnsi="Arial"/><w:color w:val="222222"/><w:sz w:val="20"/><w:szCs w:val="20"/></w:rPr><w:t xml:space="preserve">Sell to yourselves first. Then sell to your colleagues. Then scale.</w:t></w:r></w:p></w:tc></w:tr></w:tbl><w:p><w:pPr><w:spacing w:after="80"/></w:pPr></w:p><w:p><w:pPr><w:spacing w:after="120" w:line="276"/></w:pPr><w:r><w:rPr><w:rFonts w:ascii="Arial" w:cs="Arial" w:eastAsia="Arial" w:hAnsi="Arial"/><w:color w:val="222222"/><w:sz w:val="20"/><w:szCs w:val="20"/></w:rPr><w:t xml:space="preserve">Your founding team IS the beachhead market. You don’t need to guess what customers want — you ARE the customers. You don’t need to build a sales pipeline — your LinkedIn contacts ARE the pipeline. You don’t need to hire domain experts — you ARE the domain experts. Ship the product, use it yourselves, prove it works, and let the network do the rest.</w:t></w:r></w:p><w:p><w:pPr><w:spacing w:after="80"/></w:pPr></w:p><w:p><w:pPr><w:spacing w:after="100" w:before="200"/><w:jc w:val="center"/></w:pPr><w:r><w:rPr><w:rFonts w:ascii="Arial" w:cs="Arial" w:eastAsia="Arial" w:hAnsi="Arial"/><w:i/><w:iCs/><w:color w:val="999999"/><w:sz w:val="20"/><w:szCs w:val="20"/></w:rPr><w:t xml:space="preserve">End of Report</w:t></w:r></w:p><w:p><w:pPr><w:jc w:val="center"/></w:pPr><w:r><w:rPr><w:rFonts w:ascii="Arial" w:cs="Arial" w:eastAsia="Arial" w:hAnsi="Arial"/><w:color w:val="999999"/><w:sz w:val="18"/><w:szCs w:val="18"/></w:rPr><w:t xml:space="preserve">Prepared by Claude | March 15, 2026</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Basquio GTM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2026-03-15T14:35:53.401Z</dcterms:created>
  <dcterms:modified xsi:type="dcterms:W3CDTF">2026-03-15T14:35:53.401Z</dcterms:modified>
</cp:coreProperties>
</file>

<file path=docProps/custom.xml><?xml version="1.0" encoding="utf-8"?>
<Properties xmlns="http://schemas.openxmlformats.org/officeDocument/2006/custom-properties" xmlns:vt="http://schemas.openxmlformats.org/officeDocument/2006/docPropsVTypes"/>
</file>