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p>
      <w:r>
        <w:rPr>
          <w:rFonts w:ascii="Cormorant Garamond" w:cs="Cormorant Garamond" w:eastAsia="Cormorant Garamond" w:hAnsi="Cormorant Garamond"/>
          <w:b/>
          <w:bCs/>
          <w:color w:val="8B4A2B"/>
          <w:sz w:val="60"/>
          <w:szCs w:val="60"/>
        </w:rPr>
        <w:t xml:space="preserve">L U M I N A</w:t>
      </w:r>
    </w:p>
    <w:p>
      <w:pPr>
        <w:spacing w:after="0" w:before="100"/>
      </w:pPr>
    </w:p>
    <w:p>
      <w:pPr>
        <w:pBdr>
          <w:bottom w:val="single" w:color="C9A96E" w:sz="4" w:space="8"/>
        </w:pBdr>
        <w:spacing w:after="300"/>
      </w:pPr>
      <w:r>
        <w:rPr>
          <w:rFonts w:ascii="Cormorant Garamond" w:cs="Cormorant Garamond" w:eastAsia="Cormorant Garamond" w:hAnsi="Cormorant Garamond"/>
          <w:color w:val="1A120B"/>
          <w:sz w:val="40"/>
          <w:szCs w:val="40"/>
        </w:rPr>
        <w:t xml:space="preserve">Controproposta e Framework Operativo</w:t>
      </w:r>
    </w:p>
    <w:p>
      <w:r>
        <w:rPr>
          <w:rFonts w:ascii="Didact Gothic" w:cs="Didact Gothic" w:eastAsia="Didact Gothic" w:hAnsi="Didact Gothic"/>
          <w:color w:val="7A6E63"/>
          <w:sz w:val="22"/>
          <w:szCs w:val="22"/>
        </w:rPr>
        <w:t xml:space="preserve">Risposta alla Proposta Operativa del 29 Marzo 2026</w:t>
      </w:r>
    </w:p>
    <w:p>
      <w:pPr>
        <w:spacing w:after="0" w:before="1600"/>
      </w:pPr>
    </w:p>
    <w:p>
      <w:r>
        <w:rPr>
          <w:rFonts w:ascii="Cormorant Garamond" w:cs="Cormorant Garamond" w:eastAsia="Cormorant Garamond" w:hAnsi="Cormorant Garamond"/>
          <w:b/>
          <w:bCs/>
          <w:color w:val="1A120B"/>
          <w:sz w:val="24"/>
          <w:szCs w:val="24"/>
        </w:rPr>
        <w:t xml:space="preserve">Marco Di Cesare</w:t>
      </w:r>
    </w:p>
    <w:p>
      <w:r>
        <w:rPr>
          <w:rFonts w:ascii="Didact Gothic" w:cs="Didact Gothic" w:eastAsia="Didact Gothic" w:hAnsi="Didact Gothic"/>
          <w:color w:val="7A6E63"/>
          <w:sz w:val="18"/>
          <w:szCs w:val="18"/>
        </w:rPr>
        <w:t xml:space="preserve">Marzo 2026  |  Confidenziale</w:t>
      </w:r>
    </w:p>
    <w:p>
      <w:pPr>
        <w:sectPr>
          <w:pgSz w:w="11906" w:h="16838" w:orient="portrait"/>
          <w:pgMar w:top="2880" w:right="1440" w:bottom="1440" w:left="1440" w:header="708" w:footer="708" w:gutter="0"/>
          <w:pgNumType/>
          <w:docGrid w:linePitch="360"/>
        </w:sectPr>
      </w:pPr>
    </w:p>
    <w:p>
      <w:pPr>
        <w:pStyle w:val="Heading1"/>
      </w:pPr>
      <w:r>
        <w:t xml:space="preserve">1. La mia proposta in sintesi</w:t>
      </w:r>
    </w:p>
    <w:p>
      <w:pPr>
        <w:spacing w:after="200"/>
      </w:pPr>
      <w:r>
        <w:rPr>
          <w:rFonts w:ascii="Didact Gothic" w:cs="Didact Gothic" w:eastAsia="Didact Gothic" w:hAnsi="Didact Gothic"/>
          <w:i w:val="false"/>
          <w:iCs w:val="false"/>
          <w:color w:val="1A120B"/>
          <w:sz w:val="22"/>
          <w:szCs w:val="22"/>
        </w:rPr>
        <w:t xml:space="preserve">Ame, Marco, grazie per la call e per il deck. La proposta e' seria, il piano e' solido, il brand e' bellissimo. Voglio fare Lumina insieme a voi.</w:t>
      </w:r>
    </w:p>
    <w:p>
      <w:pPr>
        <w:spacing w:after="200"/>
      </w:pPr>
      <w:r>
        <w:rPr>
          <w:rFonts w:ascii="Didact Gothic" w:cs="Didact Gothic" w:eastAsia="Didact Gothic" w:hAnsi="Didact Gothic"/>
          <w:i w:val="false"/>
          <w:iCs w:val="false"/>
          <w:color w:val="1A120B"/>
          <w:sz w:val="22"/>
          <w:szCs w:val="22"/>
        </w:rPr>
        <w:t xml:space="preserve">Vi mando questo documento con degli aggiustamenti ai termini commerciali. Ma prima fatemi dire la cosa piu' importante: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96E" w:sz="4"/>
              <w:left w:val="single" w:color="C9A96E" w:sz="4"/>
              <w:bottom w:val="single" w:color="C9A96E" w:sz="4"/>
              <w:right w:val="single" w:color="C9A96E" w:sz="4"/>
            </w:tcBorders>
            <w:shd w:fill="FAF7F2" w:val="clear"/>
            <w:tcMar>
              <w:top w:type="dxa" w:w="200"/>
              <w:left w:type="dxa" w:w="300"/>
              <w:bottom w:type="dxa" w:w="200"/>
              <w:right w:type="dxa" w:w="300"/>
            </w:tcMar>
          </w:tcPr>
          <w:p>
            <w:pPr>
              <w:spacing w:after="120"/>
            </w:pPr>
            <w:r>
              <w:rPr>
                <w:rFonts w:ascii="Cormorant Garamond" w:cs="Cormorant Garamond" w:eastAsia="Cormorant Garamond" w:hAnsi="Cormorant Garamond"/>
                <w:b/>
                <w:bCs/>
                <w:color w:val="8B4A2B"/>
                <w:sz w:val="28"/>
                <w:szCs w:val="28"/>
              </w:rPr>
              <w:t xml:space="preserve">Perche' questa proposta conviene a tutti:</w:t>
            </w:r>
          </w:p>
          <w:p>
            <w:pPr>
              <w:spacing w:after="120"/>
            </w:pPr>
            <w:r>
              <w:rPr>
                <w:rFonts w:ascii="Didact Gothic" w:cs="Didact Gothic" w:eastAsia="Didact Gothic" w:hAnsi="Didact Gothic"/>
                <w:color w:val="1A120B"/>
                <w:sz w:val="22"/>
                <w:szCs w:val="22"/>
              </w:rPr>
              <w:t xml:space="preserve">Con la vostra proposta attuale, voi avete il 75% (100% - 15% mio - 10% dipendenti).</w:t>
            </w:r>
          </w:p>
          <w:p>
            <w:pPr>
              <w:spacing w:after="120"/>
            </w:pPr>
            <w:r>
              <w:rPr>
                <w:rFonts w:ascii="Didact Gothic" w:cs="Didact Gothic" w:eastAsia="Didact Gothic" w:hAnsi="Didact Gothic"/>
                <w:b/>
                <w:bCs/>
                <w:color w:val="8B4A2B"/>
                <w:sz w:val="22"/>
                <w:szCs w:val="22"/>
              </w:rPr>
              <w:t xml:space="preserve">Con la mia proposta, voi avete l'80%. Io ho il 20%. Tutti guadagnano di piu'.</w:t>
            </w:r>
          </w:p>
          <w:p>
            <w:pPr>
              <w:spacing w:after="0"/>
            </w:pPr>
            <w:r>
              <w:rPr>
                <w:rFonts w:ascii="Didact Gothic" w:cs="Didact Gothic" w:eastAsia="Didact Gothic" w:hAnsi="Didact Gothic"/>
                <w:color w:val="1A120B"/>
                <w:sz w:val="22"/>
                <w:szCs w:val="22"/>
              </w:rPr>
              <w:t xml:space="preserve">Come? Il pool dipendenti esce dal cap table con un Phantom Share Plan (spiego tutto nella Sezione 4). Il cap table resta pulitissimo: 80/20, tre nomi, zero complicazioni. I dipendenti hanno lo stesso upside economico, ma senza diluire nessuno.</w:t>
            </w:r>
          </w:p>
        </w:tc>
      </w:tr>
    </w:tbl>
    <w:p>
      <w:pPr>
        <w:spacing w:after="0" w:before="200"/>
      </w:pPr>
    </w:p>
    <w:p>
      <w:pPr>
        <w:spacing w:after="200"/>
      </w:pPr>
      <w:r>
        <w:rPr>
          <w:rFonts w:ascii="Didact Gothic" w:cs="Didact Gothic" w:eastAsia="Didact Gothic" w:hAnsi="Didact Gothic"/>
          <w:i w:val="false"/>
          <w:iCs w:val="false"/>
          <w:color w:val="1A120B"/>
          <w:sz w:val="22"/>
          <w:szCs w:val="22"/>
        </w:rPr>
        <w:t xml:space="preserve">Non e' una lista di richieste. E' una proposta per rendere la struttura piu' pulita, piu' difendibile davanti agli investitori, e piu' facile da gestire per tutti e tre. Sotto trovate tutto punto per punto.</w:t>
      </w:r>
    </w:p>
    <w:p>
      <w:pP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13"/>
        <w:gridCol w:w="3113"/>
      </w:tblGrid>
      <w:tr>
        <w:tc>
          <w:tcPr>
            <w:tcW w:type="dxa" w:w="2800"/>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Tema</w:t>
            </w:r>
          </w:p>
        </w:tc>
        <w:tc>
          <w:tcPr>
            <w:tcW w:type="dxa" w:w="3113"/>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Vostra Proposta</w:t>
            </w:r>
          </w:p>
        </w:tc>
        <w:tc>
          <w:tcPr>
            <w:tcW w:type="dxa" w:w="3113"/>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Mia Controproposta</w:t>
            </w:r>
          </w:p>
        </w:tc>
      </w:tr>
      <w:tr>
        <w:tc>
          <w:tcPr>
            <w:tcW w:type="dxa" w:w="28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Equity base</w:t>
            </w:r>
          </w:p>
        </w:tc>
        <w:tc>
          <w:tcPr>
            <w:tcW w:type="dxa" w:w="31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Fino al 15%</w:t>
            </w:r>
          </w:p>
        </w:tc>
        <w:tc>
          <w:tcPr>
            <w:tcW w:type="dxa" w:w="31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3A7D44"/>
                <w:sz w:val="18"/>
                <w:szCs w:val="18"/>
              </w:rPr>
              <w:t xml:space="preserve">20% azioni reali</w:t>
            </w:r>
          </w:p>
        </w:tc>
      </w:tr>
      <w:tr>
        <w:tc>
          <w:tcPr>
            <w:tcW w:type="dxa" w:w="28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Bonus exit</w:t>
            </w:r>
          </w:p>
        </w:tc>
        <w:tc>
          <w:tcPr>
            <w:tcW w:type="dxa" w:w="31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Da definire</w:t>
            </w:r>
          </w:p>
        </w:tc>
        <w:tc>
          <w:tcPr>
            <w:tcW w:type="dxa" w:w="31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+10% se exit &gt; EUR 30M (tot. 30%)</w:t>
            </w:r>
          </w:p>
        </w:tc>
      </w:tr>
      <w:tr>
        <w:tc>
          <w:tcPr>
            <w:tcW w:type="dxa" w:w="28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Vesting</w:t>
            </w:r>
          </w:p>
        </w:tc>
        <w:tc>
          <w:tcPr>
            <w:tcW w:type="dxa" w:w="31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Performance score soggettivo</w:t>
            </w:r>
          </w:p>
        </w:tc>
        <w:tc>
          <w:tcPr>
            <w:tcW w:type="dxa" w:w="31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KPI oggettivi (hotel, ARR)</w:t>
            </w:r>
          </w:p>
        </w:tc>
      </w:tr>
      <w:tr>
        <w:tc>
          <w:tcPr>
            <w:tcW w:type="dxa" w:w="28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Stipendio Y1</w:t>
            </w:r>
          </w:p>
        </w:tc>
        <w:tc>
          <w:tcPr>
            <w:tcW w:type="dxa" w:w="31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CHF 106K</w:t>
            </w:r>
          </w:p>
        </w:tc>
        <w:tc>
          <w:tcPr>
            <w:tcW w:type="dxa" w:w="31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CHF 106K (uguale)</w:t>
            </w:r>
          </w:p>
        </w:tc>
      </w:tr>
      <w:tr>
        <w:tc>
          <w:tcPr>
            <w:tcW w:type="dxa" w:w="28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Crescita stipendio</w:t>
            </w:r>
          </w:p>
        </w:tc>
        <w:tc>
          <w:tcPr>
            <w:tcW w:type="dxa" w:w="31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Non specificato</w:t>
            </w:r>
          </w:p>
        </w:tc>
        <w:tc>
          <w:tcPr>
            <w:tcW w:type="dxa" w:w="31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Step-up automatici a EBITDA/ARR</w:t>
            </w:r>
          </w:p>
        </w:tc>
      </w:tr>
      <w:tr>
        <w:tc>
          <w:tcPr>
            <w:tcW w:type="dxa" w:w="28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Pool dipendenti</w:t>
            </w:r>
          </w:p>
        </w:tc>
        <w:tc>
          <w:tcPr>
            <w:tcW w:type="dxa" w:w="31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10% equity reale (struttura TBD)</w:t>
            </w:r>
          </w:p>
        </w:tc>
        <w:tc>
          <w:tcPr>
            <w:tcW w:type="dxa" w:w="31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5% Phantom Share Plan</w:t>
            </w:r>
          </w:p>
        </w:tc>
      </w:tr>
      <w:tr>
        <w:tc>
          <w:tcPr>
            <w:tcW w:type="dxa" w:w="28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Cap table</w:t>
            </w:r>
          </w:p>
        </w:tc>
        <w:tc>
          <w:tcPr>
            <w:tcW w:type="dxa" w:w="31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75% / 15% / 10%</w:t>
            </w:r>
          </w:p>
        </w:tc>
        <w:tc>
          <w:tcPr>
            <w:tcW w:type="dxa" w:w="31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3A7D44"/>
                <w:sz w:val="18"/>
                <w:szCs w:val="18"/>
              </w:rPr>
              <w:t xml:space="preserve">80% / 20% (pulitissimo)</w:t>
            </w:r>
          </w:p>
        </w:tc>
      </w:tr>
      <w:tr>
        <w:tc>
          <w:tcPr>
            <w:tcW w:type="dxa" w:w="28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Board</w:t>
            </w:r>
          </w:p>
        </w:tc>
        <w:tc>
          <w:tcPr>
            <w:tcW w:type="dxa" w:w="31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Non specificato</w:t>
            </w:r>
          </w:p>
        </w:tc>
        <w:tc>
          <w:tcPr>
            <w:tcW w:type="dxa" w:w="31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3 persone, decisioni a 2/3</w:t>
            </w:r>
          </w:p>
        </w:tc>
      </w:tr>
      <w:tr>
        <w:tc>
          <w:tcPr>
            <w:tcW w:type="dxa" w:w="28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Anti-diluizione</w:t>
            </w:r>
          </w:p>
        </w:tc>
        <w:tc>
          <w:tcPr>
            <w:tcW w:type="dxa" w:w="31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Concordato in principio</w:t>
            </w:r>
          </w:p>
        </w:tc>
        <w:tc>
          <w:tcPr>
            <w:tcW w:type="dxa" w:w="31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Pro-rata + floor 15% post-Series A</w:t>
            </w:r>
          </w:p>
        </w:tc>
      </w:tr>
      <w:tr>
        <w:tc>
          <w:tcPr>
            <w:tcW w:type="dxa" w:w="28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Protezioni reciproche</w:t>
            </w:r>
          </w:p>
        </w:tc>
        <w:tc>
          <w:tcPr>
            <w:tcW w:type="dxa" w:w="31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Non specificato</w:t>
            </w:r>
          </w:p>
        </w:tc>
        <w:tc>
          <w:tcPr>
            <w:tcW w:type="dxa" w:w="31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Drag-along, tag-along, deadlock</w:t>
            </w:r>
          </w:p>
        </w:tc>
      </w:tr>
      <w:tr>
        <w:tc>
          <w:tcPr>
            <w:tcW w:type="dxa" w:w="28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Forma societaria</w:t>
            </w:r>
          </w:p>
        </w:tc>
        <w:tc>
          <w:tcPr>
            <w:tcW w:type="dxa" w:w="31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Non specificato</w:t>
            </w:r>
          </w:p>
        </w:tc>
        <w:tc>
          <w:tcPr>
            <w:tcW w:type="dxa" w:w="31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AG (non GmbH) - vedi Sezione 6</w:t>
            </w:r>
          </w:p>
        </w:tc>
      </w:tr>
    </w:tbl>
    <w:p>
      <w:pPr>
        <w:spacing w:after="0" w:before="200"/>
      </w:pPr>
    </w:p>
    <w:p>
      <w:r>
        <w:br w:type="page"/>
      </w:r>
    </w:p>
    <w:p>
      <w:pPr>
        <w:pStyle w:val="Heading1"/>
      </w:pPr>
      <w:r>
        <w:t xml:space="preserve">2. Equity: 20% base, con percorso fino al 30%</w:t>
      </w:r>
    </w:p>
    <w:p>
      <w:pPr>
        <w:pStyle w:val="Heading2"/>
      </w:pPr>
      <w:r>
        <w:t xml:space="preserve">Perche' 20% e non 15%</w:t>
      </w:r>
    </w:p>
    <w:p>
      <w:pPr>
        <w:spacing w:after="200"/>
      </w:pPr>
      <w:r>
        <w:rPr>
          <w:rFonts w:ascii="Didact Gothic" w:cs="Didact Gothic" w:eastAsia="Didact Gothic" w:hAnsi="Didact Gothic"/>
          <w:i w:val="false"/>
          <w:iCs w:val="false"/>
          <w:color w:val="1A120B"/>
          <w:sz w:val="22"/>
          <w:szCs w:val="22"/>
        </w:rPr>
        <w:t xml:space="preserve">La proposta offre fino al 15% (Pool 25% x peso 60%). Propongo di portare il peso all'80%, che da' 20%.</w:t>
      </w:r>
    </w:p>
    <w:p>
      <w:pPr>
        <w:spacing w:after="200"/>
      </w:pPr>
      <w:r>
        <w:rPr>
          <w:rFonts w:ascii="Didact Gothic" w:cs="Didact Gothic" w:eastAsia="Didact Gothic" w:hAnsi="Didact Gothic"/>
          <w:i w:val="false"/>
          <w:iCs w:val="false"/>
          <w:color w:val="1A120B"/>
          <w:sz w:val="22"/>
          <w:szCs w:val="22"/>
        </w:rPr>
        <w:t xml:space="preserve">Sono l'unico a tempo pieno. Amedeo e Marco Corsaro portano capitale, network e guida strategica, che hanno un valore enorme. Ma prodotto, clienti, team, operazioni quotidiane: e' tutto sulle spalle di una persona. Un peso dell'80% riflette questa realta'.</w:t>
      </w:r>
    </w:p>
    <w:p>
      <w:pPr>
        <w:spacing w:after="200"/>
      </w:pPr>
      <w:r>
        <w:rPr>
          <w:rFonts w:ascii="Didact Gothic" w:cs="Didact Gothic" w:eastAsia="Didact Gothic" w:hAnsi="Didact Gothic"/>
          <w:i w:val="false"/>
          <w:iCs w:val="false"/>
          <w:color w:val="1A120B"/>
          <w:sz w:val="22"/>
          <w:szCs w:val="22"/>
        </w:rPr>
        <w:t xml:space="preserve">Il costo per voi e' 5 punti percentuali da un 75% combinato. Quello che compra e' un CEO che si sente founding partner, non un dipendente con upside. Quella sensazione e' quella che tiene una persona motivata al mese 18 quando il revenue e' piatto e il prossimo hotel dice no.</w:t>
      </w:r>
    </w:p>
    <w:p>
      <w:pPr>
        <w:spacing w:after="200"/>
      </w:pPr>
      <w:r>
        <w:rPr>
          <w:rFonts w:ascii="Didact Gothic" w:cs="Didact Gothic" w:eastAsia="Didact Gothic" w:hAnsi="Didact Gothic"/>
          <w:i w:val="false"/>
          <w:iCs w:val="false"/>
          <w:color w:val="1A120B"/>
          <w:sz w:val="22"/>
          <w:szCs w:val="22"/>
        </w:rPr>
        <w:t xml:space="preserve">E ricordate: con il Phantom Share Plan, il vostro 80% e' vero 80%, non il 75% che avreste con l'ESOP tradizionale. Tutti ci guadagnano.</w:t>
      </w:r>
    </w:p>
    <w:p>
      <w:pPr>
        <w:pStyle w:val="Heading2"/>
      </w:pPr>
      <w:r>
        <w:t xml:space="preserve">Exit kicker: +10% se l'exit supera EUR 30M</w:t>
      </w:r>
    </w:p>
    <w:p>
      <w:pPr>
        <w:spacing w:after="200"/>
      </w:pPr>
      <w:r>
        <w:rPr>
          <w:rFonts w:ascii="Didact Gothic" w:cs="Didact Gothic" w:eastAsia="Didact Gothic" w:hAnsi="Didact Gothic"/>
          <w:i w:val="false"/>
          <w:iCs w:val="false"/>
          <w:color w:val="1A120B"/>
          <w:sz w:val="22"/>
          <w:szCs w:val="22"/>
        </w:rPr>
        <w:t xml:space="preserve">Nella call abbiamo concordato che ci dovrebbe essere un meccanismo di partecipazione oltre il 15% se le cose vanno bene. Ecco una versione concreta: se la valutazione all'exit supera EUR 30M, la mia equity sale dal 20% al 30%. Automatico. Nessun voto. Si attiva su un numero che tutti possono verificare.</w:t>
      </w:r>
    </w:p>
    <w:p>
      <w:pPr>
        <w:spacing w:after="200"/>
      </w:pPr>
      <w:r>
        <w:rPr>
          <w:rFonts w:ascii="Didact Gothic" w:cs="Didact Gothic" w:eastAsia="Didact Gothic" w:hAnsi="Didact Gothic"/>
          <w:i w:val="false"/>
          <w:iCs w:val="false"/>
          <w:color w:val="1A120B"/>
          <w:sz w:val="22"/>
          <w:szCs w:val="22"/>
        </w:rPr>
        <w:t xml:space="preserve">Facciamo i conti: a EUR 30M, l'80% di Amedeo e Marco Corsaro vale EUR 24M. Dopo il kicker, scende al 70% = EUR 21M. La differenza di EUR 3M e' il prezzo di un operatore massimamente motivato attraverso gli anni piu' difficili. E si attiva solo quando la torta e' molto, molto grande.</w:t>
      </w:r>
    </w:p>
    <w:p>
      <w:pPr>
        <w:spacing w:after="200"/>
      </w:pPr>
      <w:r>
        <w:rPr>
          <w:rFonts w:ascii="Didact Gothic" w:cs="Didact Gothic" w:eastAsia="Didact Gothic" w:hAnsi="Didact Gothic"/>
          <w:i w:val="false"/>
          <w:iCs w:val="false"/>
          <w:color w:val="1A120B"/>
          <w:sz w:val="22"/>
          <w:szCs w:val="22"/>
        </w:rPr>
        <w:t xml:space="preserve">Se l'exit e' sotto EUR 30M? Il kicker non si applica. Tenete il vostro 80% pieno. Semplice.</w:t>
      </w:r>
    </w:p>
    <w:p>
      <w:r>
        <w:br w:type="page"/>
      </w:r>
    </w:p>
    <w:p>
      <w:pPr>
        <w:pStyle w:val="Heading1"/>
      </w:pPr>
      <w:r>
        <w:t xml:space="preserve">3. Vesting, stipendio e protezioni</w:t>
      </w:r>
    </w:p>
    <w:p>
      <w:pPr>
        <w:pStyle w:val="Heading2"/>
      </w:pPr>
      <w:r>
        <w:t xml:space="preserve">Vesting: milestone chiari, zero ambiguita'</w:t>
      </w:r>
    </w:p>
    <w:p>
      <w:pPr>
        <w:spacing w:after="200"/>
      </w:pPr>
      <w:r>
        <w:rPr>
          <w:rFonts w:ascii="Didact Gothic" w:cs="Didact Gothic" w:eastAsia="Didact Gothic" w:hAnsi="Didact Gothic"/>
          <w:i w:val="false"/>
          <w:iCs w:val="false"/>
          <w:color w:val="1A120B"/>
          <w:sz w:val="22"/>
          <w:szCs w:val="22"/>
        </w:rPr>
        <w:t xml:space="preserve">La proposta lega il vesting a un performance score valutato dai fondatori. Preferisco milestone oggettivi che possiamo tutti contare. Nessuna conversazione su se uno score e' 25% o 75%. Solo numeri.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863"/>
        <w:gridCol w:w="2863"/>
      </w:tblGrid>
      <w:tr>
        <w:tc>
          <w:tcPr>
            <w:tcW w:type="dxa" w:w="1800"/>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Quando</w:t>
            </w:r>
          </w:p>
        </w:tc>
        <w:tc>
          <w:tcPr>
            <w:tcW w:type="dxa" w:w="1500"/>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Tranche</w:t>
            </w:r>
          </w:p>
        </w:tc>
        <w:tc>
          <w:tcPr>
            <w:tcW w:type="dxa" w:w="2863"/>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Condizione</w:t>
            </w:r>
          </w:p>
        </w:tc>
        <w:tc>
          <w:tcPr>
            <w:tcW w:type="dxa" w:w="2863"/>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vs. Business Plan</w:t>
            </w:r>
          </w:p>
        </w:tc>
      </w:tr>
      <w:tr>
        <w:tc>
          <w:tcPr>
            <w:tcW w:type="dxa" w:w="18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Mese 12 (cliff)</w:t>
            </w:r>
          </w:p>
        </w:tc>
        <w:tc>
          <w:tcPr>
            <w:tcW w:type="dxa" w:w="15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7%</w:t>
            </w:r>
          </w:p>
        </w:tc>
        <w:tc>
          <w:tcPr>
            <w:tcW w:type="dxa" w:w="286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10+ hotel paganti</w:t>
            </w:r>
          </w:p>
        </w:tc>
        <w:tc>
          <w:tcPr>
            <w:tcW w:type="dxa" w:w="286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iCs/>
                <w:color w:val="7A6E63"/>
                <w:sz w:val="18"/>
                <w:szCs w:val="18"/>
              </w:rPr>
              <w:t xml:space="preserve">BP: 32 paganti a M12</w:t>
            </w:r>
          </w:p>
        </w:tc>
      </w:tr>
      <w:tr>
        <w:tc>
          <w:tcPr>
            <w:tcW w:type="dxa" w:w="18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Mese 24</w:t>
            </w:r>
          </w:p>
        </w:tc>
        <w:tc>
          <w:tcPr>
            <w:tcW w:type="dxa" w:w="15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7%</w:t>
            </w:r>
          </w:p>
        </w:tc>
        <w:tc>
          <w:tcPr>
            <w:tcW w:type="dxa" w:w="286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ARR &gt;= EUR 500K</w:t>
            </w:r>
          </w:p>
        </w:tc>
        <w:tc>
          <w:tcPr>
            <w:tcW w:type="dxa" w:w="286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iCs/>
                <w:color w:val="7A6E63"/>
                <w:sz w:val="18"/>
                <w:szCs w:val="18"/>
              </w:rPr>
              <w:t xml:space="preserve">BP: EUR 1.3M ARR a M24</w:t>
            </w:r>
          </w:p>
        </w:tc>
      </w:tr>
      <w:tr>
        <w:tc>
          <w:tcPr>
            <w:tcW w:type="dxa" w:w="18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Mese 36</w:t>
            </w:r>
          </w:p>
        </w:tc>
        <w:tc>
          <w:tcPr>
            <w:tcW w:type="dxa" w:w="15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6%</w:t>
            </w:r>
          </w:p>
        </w:tc>
        <w:tc>
          <w:tcPr>
            <w:tcW w:type="dxa" w:w="286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ARR &gt;= EUR 1.5M</w:t>
            </w:r>
          </w:p>
        </w:tc>
        <w:tc>
          <w:tcPr>
            <w:tcW w:type="dxa" w:w="286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iCs/>
                <w:color w:val="7A6E63"/>
                <w:sz w:val="18"/>
                <w:szCs w:val="18"/>
              </w:rPr>
              <w:t xml:space="preserve">BP: EUR 2.7M ARR a M36</w:t>
            </w:r>
          </w:p>
        </w:tc>
      </w:tr>
    </w:tbl>
    <w:p>
      <w:pPr>
        <w:spacing w:after="0" w:before="200"/>
      </w:pPr>
    </w:p>
    <w:p>
      <w:pPr>
        <w:spacing w:after="200"/>
      </w:pPr>
      <w:r>
        <w:rPr>
          <w:rFonts w:ascii="Didact Gothic" w:cs="Didact Gothic" w:eastAsia="Didact Gothic" w:hAnsi="Didact Gothic"/>
          <w:i w:val="false"/>
          <w:iCs w:val="false"/>
          <w:color w:val="1A120B"/>
          <w:sz w:val="22"/>
          <w:szCs w:val="22"/>
        </w:rPr>
        <w:t xml:space="preserve">Ho messo i target sotto le proiezioni del business plan di Amedeo apposta. Se il business performa anche solo vicino al piano, vesto tutto. Se non performa, non vesto. Giusto per tutti.</w:t>
      </w:r>
    </w:p>
    <w:p>
      <w:pPr>
        <w:pStyle w:val="Heading2"/>
      </w:pPr>
      <w:r>
        <w:t xml:space="preserve">Good leaver / bad leaver</w:t>
      </w:r>
    </w:p>
    <w:p>
      <w:pPr>
        <w:spacing w:after="200"/>
      </w:pPr>
      <w:r>
        <w:rPr>
          <w:rFonts w:ascii="Didact Gothic" w:cs="Didact Gothic" w:eastAsia="Didact Gothic" w:hAnsi="Didact Gothic"/>
          <w:b/>
          <w:bCs/>
          <w:color w:val="1A120B"/>
          <w:sz w:val="22"/>
          <w:szCs w:val="22"/>
        </w:rPr>
        <w:t xml:space="preserve">Good leaver: </w:t>
      </w:r>
      <w:r>
        <w:rPr>
          <w:rFonts w:ascii="Didact Gothic" w:cs="Didact Gothic" w:eastAsia="Didact Gothic" w:hAnsi="Didact Gothic"/>
          <w:i w:val="false"/>
          <w:iCs w:val="false"/>
          <w:color w:val="1A120B"/>
          <w:sz w:val="22"/>
          <w:szCs w:val="22"/>
        </w:rPr>
        <w:t xml:space="preserve">Se lascio o vengo mandato via senza giusta causa dopo il cliff, tengo tutto cio' che e' vestito a fair market value. Standard.</w:t>
      </w:r>
    </w:p>
    <w:p>
      <w:pPr>
        <w:spacing w:after="200"/>
      </w:pPr>
      <w:r>
        <w:rPr>
          <w:rFonts w:ascii="Didact Gothic" w:cs="Didact Gothic" w:eastAsia="Didact Gothic" w:hAnsi="Didact Gothic"/>
          <w:b/>
          <w:bCs/>
          <w:color w:val="1A120B"/>
          <w:sz w:val="22"/>
          <w:szCs w:val="22"/>
        </w:rPr>
        <w:t xml:space="preserve">Bad leaver: </w:t>
      </w:r>
      <w:r>
        <w:rPr>
          <w:rFonts w:ascii="Didact Gothic" w:cs="Didact Gothic" w:eastAsia="Didact Gothic" w:hAnsi="Didact Gothic"/>
          <w:i w:val="false"/>
          <w:iCs w:val="false"/>
          <w:color w:val="1A120B"/>
          <w:sz w:val="22"/>
          <w:szCs w:val="22"/>
        </w:rPr>
        <w:t xml:space="preserve">Tre trigger e basta: frode, condanna penale, violazione materiale dei doveri fiduciari. Nient'altro. I milestone di vesting gestiscono gia' la performance. Se non raggiungo i numeri, le azioni semplicemente non vestono. Non serve un secondo livello soggettivo sopra.</w:t>
      </w:r>
    </w:p>
    <w:p>
      <w:pPr>
        <w:pStyle w:val="Heading2"/>
      </w:pPr>
      <w:r>
        <w:t xml:space="preserve">Accelerazione su evento di liquidita'</w:t>
      </w:r>
    </w:p>
    <w:p>
      <w:pPr>
        <w:spacing w:after="200"/>
      </w:pPr>
      <w:r>
        <w:rPr>
          <w:rFonts w:ascii="Didact Gothic" w:cs="Didact Gothic" w:eastAsia="Didact Gothic" w:hAnsi="Didact Gothic"/>
          <w:i w:val="false"/>
          <w:iCs w:val="false"/>
          <w:color w:val="1A120B"/>
          <w:sz w:val="22"/>
          <w:szCs w:val="22"/>
        </w:rPr>
        <w:t xml:space="preserve">Se una vendita, fusione o IPO avviene prima che il vesting di 36 mesi sia completato, tutte le azioni non vestate vestono immediatamente. Lo abbiamo gia' concordato in principio. Vorrei che fosse scritto. Se la societa' vende al mese 18 grazie al lavoro che abbiamo fatto tutti, l'orologio del vesting non dovrebbe penalizzare nessuno.</w:t>
      </w:r>
    </w:p>
    <w:p>
      <w:pPr>
        <w:pStyle w:val="Heading2"/>
      </w:pPr>
      <w:r>
        <w:t xml:space="preserve">Stipendio: accetto il sacrificio, cresce con l'azienda</w:t>
      </w:r>
    </w:p>
    <w:p>
      <w:pPr>
        <w:spacing w:after="200"/>
      </w:pPr>
      <w:r>
        <w:rPr>
          <w:rFonts w:ascii="Didact Gothic" w:cs="Didact Gothic" w:eastAsia="Didact Gothic" w:hAnsi="Didact Gothic"/>
          <w:i w:val="false"/>
          <w:iCs w:val="false"/>
          <w:color w:val="1A120B"/>
          <w:sz w:val="22"/>
          <w:szCs w:val="22"/>
        </w:rPr>
        <w:t xml:space="preserve">Accetto CHF 106K come stipendio iniziale. Sotto mercato, e va bene perche' ci credo. Quello che vorrei e' che lo stipendio cresca quando l'azienda se lo puo' permettere, automaticamente, scritto nell'accordo.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Trigger</w:t>
            </w:r>
          </w:p>
        </w:tc>
        <w:tc>
          <w:tcPr>
            <w:tcW w:type="dxa" w:w="2763"/>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Stipendio</w:t>
            </w:r>
          </w:p>
        </w:tc>
        <w:tc>
          <w:tcPr>
            <w:tcW w:type="dxa" w:w="2763"/>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Logica</w:t>
            </w:r>
          </w:p>
        </w:tc>
      </w:tr>
      <w:tr>
        <w:tc>
          <w:tcPr>
            <w:tcW w:type="dxa" w:w="35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Giorno 1</w:t>
            </w:r>
          </w:p>
        </w:tc>
        <w:tc>
          <w:tcPr>
            <w:tcW w:type="dxa" w:w="276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CHF 106K</w:t>
            </w:r>
          </w:p>
        </w:tc>
        <w:tc>
          <w:tcPr>
            <w:tcW w:type="dxa" w:w="276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iCs/>
                <w:color w:val="7A6E63"/>
                <w:sz w:val="18"/>
                <w:szCs w:val="18"/>
              </w:rPr>
              <w:t xml:space="preserve">Periodo sacrificio, skin in the game</w:t>
            </w:r>
          </w:p>
        </w:tc>
      </w:tr>
      <w:tr>
        <w:tc>
          <w:tcPr>
            <w:tcW w:type="dxa" w:w="35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3 mesi EBITDA positivo</w:t>
            </w:r>
          </w:p>
        </w:tc>
        <w:tc>
          <w:tcPr>
            <w:tcW w:type="dxa" w:w="276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CHF 140K</w:t>
            </w:r>
          </w:p>
        </w:tc>
        <w:tc>
          <w:tcPr>
            <w:tcW w:type="dxa" w:w="276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iCs/>
                <w:color w:val="7A6E63"/>
                <w:sz w:val="18"/>
                <w:szCs w:val="18"/>
              </w:rPr>
              <w:t xml:space="preserve">L'azienda e' sana</w:t>
            </w:r>
          </w:p>
        </w:tc>
      </w:tr>
      <w:tr>
        <w:tc>
          <w:tcPr>
            <w:tcW w:type="dxa" w:w="35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ARR &gt; EUR 1.5M</w:t>
            </w:r>
          </w:p>
        </w:tc>
        <w:tc>
          <w:tcPr>
            <w:tcW w:type="dxa" w:w="276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CHF 170K</w:t>
            </w:r>
          </w:p>
        </w:tc>
        <w:tc>
          <w:tcPr>
            <w:tcW w:type="dxa" w:w="276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iCs/>
                <w:color w:val="7A6E63"/>
                <w:sz w:val="18"/>
                <w:szCs w:val="18"/>
              </w:rPr>
              <w:t xml:space="preserve">Traction reale</w:t>
            </w:r>
          </w:p>
        </w:tc>
      </w:tr>
      <w:tr>
        <w:tc>
          <w:tcPr>
            <w:tcW w:type="dxa" w:w="35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Series A</w:t>
            </w:r>
          </w:p>
        </w:tc>
        <w:tc>
          <w:tcPr>
            <w:tcW w:type="dxa" w:w="276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CHF 190K+ (mercato)</w:t>
            </w:r>
          </w:p>
        </w:tc>
        <w:tc>
          <w:tcPr>
            <w:tcW w:type="dxa" w:w="276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iCs/>
                <w:color w:val="7A6E63"/>
                <w:sz w:val="18"/>
                <w:szCs w:val="18"/>
              </w:rPr>
              <w:t xml:space="preserve">Nuovo capitale, stipendio si normalizza</w:t>
            </w:r>
          </w:p>
        </w:tc>
      </w:tr>
    </w:tbl>
    <w:p>
      <w:pPr>
        <w:spacing w:after="0" w:before="200"/>
      </w:pPr>
    </w:p>
    <w:p>
      <w:pPr>
        <w:spacing w:after="200"/>
      </w:pPr>
      <w:r>
        <w:rPr>
          <w:rFonts w:ascii="Didact Gothic" w:cs="Didact Gothic" w:eastAsia="Didact Gothic" w:hAnsi="Didact Gothic"/>
          <w:i w:val="false"/>
          <w:iCs w:val="false"/>
          <w:color w:val="1A120B"/>
          <w:sz w:val="22"/>
          <w:szCs w:val="22"/>
        </w:rPr>
        <w:t xml:space="preserve">I trigger vanno nel patto parasociale e si attivano automaticamente. Cosi' nessuno deve avere una conversazione imbarazzante sui soldi quando dovremmo essere concentrati a costruire.</w:t>
      </w:r>
    </w:p>
    <w:p>
      <w:r>
        <w:br w:type="page"/>
      </w:r>
    </w:p>
    <w:p>
      <w:pPr>
        <w:pStyle w:val="Heading1"/>
      </w:pPr>
      <w:r>
        <w:t xml:space="preserve">4. Phantom Share Plan per i dipendenti</w:t>
      </w:r>
    </w:p>
    <w:p>
      <w:pPr>
        <w:spacing w:after="200"/>
      </w:pPr>
      <w:r>
        <w:rPr>
          <w:rFonts w:ascii="Didact Gothic" w:cs="Didact Gothic" w:eastAsia="Didact Gothic" w:hAnsi="Didact Gothic"/>
          <w:i w:val="false"/>
          <w:iCs w:val="false"/>
          <w:color w:val="1A120B"/>
          <w:sz w:val="22"/>
          <w:szCs w:val="22"/>
        </w:rPr>
        <w:t xml:space="preserve">La proposta alloca il 10% per il pool dipendenti come equity reale. Propongo una struttura diversa: 5%, come Phantom Share Plan (PSOP) invece di equity reale. Meglio per Amedeo e Marco Corsaro, meglio per me, e altrettanto buono per i dipendenti.</w:t>
      </w:r>
    </w:p>
    <w:p>
      <w:pPr>
        <w:pStyle w:val="Heading2"/>
      </w:pPr>
      <w:r>
        <w:t xml:space="preserve">Cos'e' un phantom share?</w:t>
      </w:r>
    </w:p>
    <w:p>
      <w:pPr>
        <w:spacing w:after="200"/>
      </w:pPr>
      <w:r>
        <w:rPr>
          <w:rFonts w:ascii="Didact Gothic" w:cs="Didact Gothic" w:eastAsia="Didact Gothic" w:hAnsi="Didact Gothic"/>
          <w:i w:val="false"/>
          <w:iCs w:val="false"/>
          <w:color w:val="1A120B"/>
          <w:sz w:val="22"/>
          <w:szCs w:val="22"/>
        </w:rPr>
        <w:t xml:space="preserve">Una promessa contrattuale che da' al dipendente un payout in contanti legato al valore dell'azienda all'exit. Ottiene l'upside economico senza apparire sul cap table, senza diritti di voto, e senza bisogno di un aumento di capitale per concederlo.</w:t>
      </w:r>
    </w:p>
    <w:p>
      <w:pPr>
        <w:spacing w:after="100"/>
      </w:pPr>
      <w:r>
        <w:rPr>
          <w:rFonts w:ascii="Didact Gothic" w:cs="Didact Gothic" w:eastAsia="Didact Gothic" w:hAnsi="Didact Gothic"/>
          <w:i/>
          <w:iCs/>
          <w:color w:val="7A6E63"/>
          <w:sz w:val="18"/>
          <w:szCs w:val="18"/>
        </w:rPr>
        <w:t xml:space="preserve">MME Legal (Zurigo): "Una partecipazione virtuale che rispecchia il valore di un'azione e mette il beneficiario sullo stesso piano di un azionista in termini di diritti economici." </w:t>
      </w:r>
      <w:hyperlink w:history="1" r:id="rIdvbwyzb9vrh_r4wg_yu1re">
        <w:r>
          <w:rPr>
            <w:rStyle w:val="Hyperlink"/>
            <w:rFonts w:ascii="Didact Gothic" w:cs="Didact Gothic" w:eastAsia="Didact Gothic" w:hAnsi="Didact Gothic"/>
            <w:sz w:val="18"/>
            <w:szCs w:val="18"/>
          </w:rPr>
          <w:t xml:space="preserve">Fonte</w:t>
        </w:r>
      </w:hyperlink>
    </w:p>
    <w:p>
      <w:pPr>
        <w:spacing w:after="100"/>
      </w:pPr>
      <w:r>
        <w:rPr>
          <w:rFonts w:ascii="Didact Gothic" w:cs="Didact Gothic" w:eastAsia="Didact Gothic" w:hAnsi="Didact Gothic"/>
          <w:i/>
          <w:iCs/>
          <w:color w:val="7A6E63"/>
          <w:sz w:val="18"/>
          <w:szCs w:val="18"/>
        </w:rPr>
        <w:t xml:space="preserve">LEXR (Zurigo): "I partecipanti al PSOP non diventano azionisti. Ricevono un diritto contrattuale a un pagamento in contanti al verificarsi di determinati eventi trigger." </w:t>
      </w:r>
      <w:hyperlink w:history="1" r:id="rIdcvgesa8gifssrgajyhmzq">
        <w:r>
          <w:rPr>
            <w:rStyle w:val="Hyperlink"/>
            <w:rFonts w:ascii="Didact Gothic" w:cs="Didact Gothic" w:eastAsia="Didact Gothic" w:hAnsi="Didact Gothic"/>
            <w:sz w:val="18"/>
            <w:szCs w:val="18"/>
          </w:rPr>
          <w:t xml:space="preserve">Fonte</w:t>
        </w:r>
      </w:hyperlink>
    </w:p>
    <w:p>
      <w:pPr>
        <w:pStyle w:val="Heading2"/>
      </w:pPr>
      <w:r>
        <w:t xml:space="preserve">Perche' il PSOP e' meglio per tutti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c>
          <w:tcPr>
            <w:tcW w:type="dxa" w:w="2400"/>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
            </w:r>
          </w:p>
        </w:tc>
        <w:tc>
          <w:tcPr>
            <w:tcW w:type="dxa" w:w="3313"/>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ESOP (azioni reali)</w:t>
            </w:r>
          </w:p>
        </w:tc>
        <w:tc>
          <w:tcPr>
            <w:tcW w:type="dxa" w:w="3313"/>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PSOP (phantom)</w:t>
            </w:r>
          </w:p>
        </w:tc>
      </w:tr>
      <w:tr>
        <w:tc>
          <w:tcPr>
            <w:tcW w:type="dxa" w:w="24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Cap table</w:t>
            </w:r>
          </w:p>
        </w:tc>
        <w:tc>
          <w:tcPr>
            <w:tcW w:type="dxa" w:w="33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Diluisce tutti</w:t>
            </w:r>
          </w:p>
        </w:tc>
        <w:tc>
          <w:tcPr>
            <w:tcW w:type="dxa" w:w="33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3A7D44"/>
                <w:sz w:val="18"/>
                <w:szCs w:val="18"/>
              </w:rPr>
              <w:t xml:space="preserve">Zero diluizione</w:t>
            </w:r>
          </w:p>
        </w:tc>
      </w:tr>
      <w:tr>
        <w:tc>
          <w:tcPr>
            <w:tcW w:type="dxa" w:w="24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Implementazione</w:t>
            </w:r>
          </w:p>
        </w:tc>
        <w:tc>
          <w:tcPr>
            <w:tcW w:type="dxa" w:w="33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Aumento capitale, notaio, Assemblea</w:t>
            </w:r>
          </w:p>
        </w:tc>
        <w:tc>
          <w:tcPr>
            <w:tcW w:type="dxa" w:w="33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Delibera CdA + contratto</w:t>
            </w:r>
          </w:p>
        </w:tc>
      </w:tr>
      <w:tr>
        <w:tc>
          <w:tcPr>
            <w:tcW w:type="dxa" w:w="24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Nuova assunzione</w:t>
            </w:r>
          </w:p>
        </w:tc>
        <w:tc>
          <w:tcPr>
            <w:tcW w:type="dxa" w:w="33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Processo formale ogni volta</w:t>
            </w:r>
          </w:p>
        </w:tc>
        <w:tc>
          <w:tcPr>
            <w:tcW w:type="dxa" w:w="33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Un contratto, dieci minuti</w:t>
            </w:r>
          </w:p>
        </w:tc>
      </w:tr>
      <w:tr>
        <w:tc>
          <w:tcPr>
            <w:tcW w:type="dxa" w:w="24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Vista investitori</w:t>
            </w:r>
          </w:p>
        </w:tc>
        <w:tc>
          <w:tcPr>
            <w:tcW w:type="dxa" w:w="33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Tanti piccoli azionisti</w:t>
            </w:r>
          </w:p>
        </w:tc>
        <w:tc>
          <w:tcPr>
            <w:tcW w:type="dxa" w:w="33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3A7D44"/>
                <w:sz w:val="18"/>
                <w:szCs w:val="18"/>
              </w:rPr>
              <w:t xml:space="preserve">Pulito: 3 nomi sul cap table</w:t>
            </w:r>
          </w:p>
        </w:tc>
      </w:tr>
      <w:tr>
        <w:tc>
          <w:tcPr>
            <w:tcW w:type="dxa" w:w="24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Fisco per dipendente</w:t>
            </w:r>
          </w:p>
        </w:tc>
        <w:tc>
          <w:tcPr>
            <w:tcW w:type="dxa" w:w="33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Possibile tassazione al grant</w:t>
            </w:r>
          </w:p>
        </w:tc>
        <w:tc>
          <w:tcPr>
            <w:tcW w:type="dxa" w:w="33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Zero tasse fino al payout all'exit</w:t>
            </w:r>
          </w:p>
        </w:tc>
      </w:tr>
    </w:tbl>
    <w:p>
      <w:pPr>
        <w:spacing w:after="0" w:before="200"/>
      </w:pPr>
    </w:p>
    <w:p>
      <w:pPr>
        <w:pStyle w:val="Heading2"/>
      </w:pPr>
      <w:r>
        <w:t xml:space="preserve">Confronto cap table</w:t>
      </w:r>
    </w:p>
    <w:p>
      <w:pPr>
        <w:spacing w:after="200"/>
      </w:pPr>
      <w:r>
        <w:rPr>
          <w:rFonts w:ascii="Didact Gothic" w:cs="Didact Gothic" w:eastAsia="Didact Gothic" w:hAnsi="Didact Gothic"/>
          <w:i w:val="false"/>
          <w:iCs w:val="false"/>
          <w:color w:val="1A120B"/>
          <w:sz w:val="22"/>
          <w:szCs w:val="22"/>
        </w:rPr>
        <w:t xml:space="preserve">Ecco come appare il cap table con PSOP rispetto a un ESOP tradizionale: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713"/>
        <w:gridCol w:w="2713"/>
      </w:tblGrid>
      <w:tr>
        <w:tc>
          <w:tcPr>
            <w:tcW w:type="dxa" w:w="3600"/>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Azionista</w:t>
            </w:r>
          </w:p>
        </w:tc>
        <w:tc>
          <w:tcPr>
            <w:tcW w:type="dxa" w:w="2713"/>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Con 5% PSOP</w:t>
            </w:r>
          </w:p>
        </w:tc>
        <w:tc>
          <w:tcPr>
            <w:tcW w:type="dxa" w:w="2713"/>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Con 10% ESOP</w:t>
            </w:r>
          </w:p>
        </w:tc>
      </w:tr>
      <w:tr>
        <w:tc>
          <w:tcPr>
            <w:tcW w:type="dxa" w:w="36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Amedeo + Marco Corsaro</w:t>
            </w:r>
          </w:p>
        </w:tc>
        <w:tc>
          <w:tcPr>
            <w:tcW w:type="dxa" w:w="27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3A7D44"/>
                <w:sz w:val="18"/>
                <w:szCs w:val="18"/>
              </w:rPr>
              <w:t xml:space="preserve">80%</w:t>
            </w:r>
          </w:p>
        </w:tc>
        <w:tc>
          <w:tcPr>
            <w:tcW w:type="dxa" w:w="27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B33A3A"/>
                <w:sz w:val="18"/>
                <w:szCs w:val="18"/>
              </w:rPr>
              <w:t xml:space="preserve">72.7%</w:t>
            </w:r>
          </w:p>
        </w:tc>
      </w:tr>
      <w:tr>
        <w:tc>
          <w:tcPr>
            <w:tcW w:type="dxa" w:w="36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Marco Di Cesare</w:t>
            </w:r>
          </w:p>
        </w:tc>
        <w:tc>
          <w:tcPr>
            <w:tcW w:type="dxa" w:w="27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3A7D44"/>
                <w:sz w:val="18"/>
                <w:szCs w:val="18"/>
              </w:rPr>
              <w:t xml:space="preserve">20%</w:t>
            </w:r>
          </w:p>
        </w:tc>
        <w:tc>
          <w:tcPr>
            <w:tcW w:type="dxa" w:w="27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B33A3A"/>
                <w:sz w:val="18"/>
                <w:szCs w:val="18"/>
              </w:rPr>
              <w:t xml:space="preserve">18.2%</w:t>
            </w:r>
          </w:p>
        </w:tc>
      </w:tr>
      <w:tr>
        <w:tc>
          <w:tcPr>
            <w:tcW w:type="dxa" w:w="36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Dipendenti su cap table</w:t>
            </w:r>
          </w:p>
        </w:tc>
        <w:tc>
          <w:tcPr>
            <w:tcW w:type="dxa" w:w="27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3A7D44"/>
                <w:sz w:val="18"/>
                <w:szCs w:val="18"/>
              </w:rPr>
              <w:t xml:space="preserve">0%</w:t>
            </w:r>
          </w:p>
        </w:tc>
        <w:tc>
          <w:tcPr>
            <w:tcW w:type="dxa" w:w="27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~9.1%</w:t>
            </w:r>
          </w:p>
        </w:tc>
      </w:tr>
      <w:tr>
        <w:tc>
          <w:tcPr>
            <w:tcW w:type="dxa" w:w="36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Upside economico dipendenti</w:t>
            </w:r>
          </w:p>
        </w:tc>
        <w:tc>
          <w:tcPr>
            <w:tcW w:type="dxa" w:w="27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5% (off the top all'exit)</w:t>
            </w:r>
          </w:p>
        </w:tc>
        <w:tc>
          <w:tcPr>
            <w:tcW w:type="dxa" w:w="27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~9.1% (azioni reali)</w:t>
            </w:r>
          </w:p>
        </w:tc>
      </w:tr>
    </w:tbl>
    <w:p>
      <w:pPr>
        <w:spacing w:after="0" w:before="200"/>
      </w:pPr>
    </w:p>
    <w:p>
      <w:pPr>
        <w:spacing w:after="200"/>
      </w:pPr>
      <w:r>
        <w:rPr>
          <w:rFonts w:ascii="Didact Gothic" w:cs="Didact Gothic" w:eastAsia="Didact Gothic" w:hAnsi="Didact Gothic"/>
          <w:i w:val="false"/>
          <w:iCs w:val="false"/>
          <w:color w:val="1A120B"/>
          <w:sz w:val="22"/>
          <w:szCs w:val="22"/>
        </w:rPr>
        <w:t xml:space="preserve">La matematica: con ESOP, tutti si diluiscono proporzionalmente. Da un split 80/20, emettere 10% di nuove azioni = totale 110 unita'. Amedeo + Marco Corsaro: 80/110 = 72.7%. Io: 20/110 = 18.2%. Dipendenti: 10/110 = 9.1%. Con PSOP: nessuno si diluisce. 80/20 resta 80/20. Il pool phantom sta fuori dal cap table come obbligazione contrattuale, pagata dai proventi dell'exit proporzionalmente.</w:t>
      </w:r>
    </w:p>
    <w:p>
      <w:pPr>
        <w:pStyle w:val="Heading2"/>
      </w:pPr>
      <w:r>
        <w:t xml:space="preserve">Perche' 5% e non 10%</w:t>
      </w:r>
    </w:p>
    <w:p>
      <w:pPr>
        <w:spacing w:after="200"/>
      </w:pPr>
      <w:r>
        <w:rPr>
          <w:rFonts w:ascii="Didact Gothic" w:cs="Didact Gothic" w:eastAsia="Didact Gothic" w:hAnsi="Didact Gothic"/>
          <w:color w:val="1A120B"/>
          <w:sz w:val="22"/>
          <w:szCs w:val="22"/>
        </w:rPr>
        <w:t xml:space="preserve">La Swiss Startup Association dice che il 10% e' la norma per le startup svizzere. </w:t>
      </w:r>
      <w:hyperlink w:history="1" r:id="rIdw78vknyx0bhauaf3548aw">
        <w:r>
          <w:rPr>
            <w:rStyle w:val="Hyperlink"/>
            <w:rFonts w:ascii="Didact Gothic" w:cs="Didact Gothic" w:eastAsia="Didact Gothic" w:hAnsi="Didact Gothic"/>
            <w:sz w:val="18"/>
            <w:szCs w:val="18"/>
          </w:rPr>
          <w:t xml:space="preserve">Fonte</w:t>
        </w:r>
      </w:hyperlink>
    </w:p>
    <w:p>
      <w:pPr>
        <w:spacing w:after="200"/>
      </w:pPr>
      <w:r>
        <w:rPr>
          <w:rFonts w:ascii="Didact Gothic" w:cs="Didact Gothic" w:eastAsia="Didact Gothic" w:hAnsi="Didact Gothic"/>
          <w:i w:val="false"/>
          <w:iCs w:val="false"/>
          <w:color w:val="1A120B"/>
          <w:sz w:val="22"/>
          <w:szCs w:val="22"/>
        </w:rPr>
        <w:t xml:space="preserve">Ma quello e' per un'azienda con 15-20 persone. Noi ne abbiamo due: Elise e Luisa. Al 5%, Elise potrebbe avere l'1.5% e Luisa lo 0.5-1%, con spazio per assunzioni future. Se Elise ha l'1.5% e usciamo a EUR 38M (caso base), il suo payout e' circa EUR 570K lordi. Sono soldi che cambiano la vita. Nessuno rifiuta perche' il pool e' 5% invece di 10%.</w:t>
      </w:r>
    </w:p>
    <w:p>
      <w:pPr>
        <w:spacing w:after="200"/>
      </w:pPr>
      <w:r>
        <w:rPr>
          <w:rFonts w:ascii="Didact Gothic" w:cs="Didact Gothic" w:eastAsia="Didact Gothic" w:hAnsi="Didact Gothic"/>
          <w:i w:val="false"/>
          <w:iCs w:val="false"/>
          <w:color w:val="1A120B"/>
          <w:sz w:val="22"/>
          <w:szCs w:val="22"/>
        </w:rPr>
        <w:t xml:space="preserve">Possiamo sempre espandere il pool alla Series A, quando gli investitori vorranno un option pool rinfrescato del 10-15% comunque. Partire piccoli e' prudente. Partire grandi e pentirsene dopo non e' un'opzione.</w:t>
      </w:r>
    </w:p>
    <w:p>
      <w:pPr>
        <w:pStyle w:val="Heading2"/>
      </w:pPr>
      <w:r>
        <w:t xml:space="preserve">Trattamento fiscale</w:t>
      </w:r>
    </w:p>
    <w:p>
      <w:pPr>
        <w:spacing w:after="200"/>
      </w:pPr>
      <w:r>
        <w:rPr>
          <w:rFonts w:ascii="Didact Gothic" w:cs="Didact Gothic" w:eastAsia="Didact Gothic" w:hAnsi="Didact Gothic"/>
          <w:color w:val="1A120B"/>
          <w:sz w:val="22"/>
          <w:szCs w:val="22"/>
        </w:rPr>
        <w:t xml:space="preserve">Secondo la Circolare n. 37 dell'Amministrazione Federale delle Contribuzioni (aggiornata ottobre 2020), i phantom shares sono "partecipazioni non genuine" dei dipendenti. Nessuna tassa al grant. Nessuna tassa al vesting. Tasse solo quando il contante viene pagato all'exit, come reddito da lavoro ordinario. Contributi AVS/AI/IPG dovuti anch'essi al payout. </w:t>
      </w:r>
      <w:hyperlink w:history="1" r:id="rIdu3n04vgeb5onlyuruwz48">
        <w:r>
          <w:rPr>
            <w:rStyle w:val="Hyperlink"/>
            <w:rFonts w:ascii="Didact Gothic" w:cs="Didact Gothic" w:eastAsia="Didact Gothic" w:hAnsi="Didact Gothic"/>
            <w:sz w:val="18"/>
            <w:szCs w:val="18"/>
          </w:rPr>
          <w:t xml:space="preserve">Fonte Pestalozzi</w:t>
        </w:r>
      </w:hyperlink>
    </w:p>
    <w:p>
      <w:pPr>
        <w:spacing w:after="200"/>
      </w:pPr>
      <w:r>
        <w:rPr>
          <w:rFonts w:ascii="Didact Gothic" w:cs="Didact Gothic" w:eastAsia="Didact Gothic" w:hAnsi="Didact Gothic"/>
          <w:color w:val="1A120B"/>
          <w:sz w:val="22"/>
          <w:szCs w:val="22"/>
        </w:rPr>
        <w:t xml:space="preserve">Sia VISCHER che la Swiss Startup Association raccomandano di ottenere un tax ruling dal Canton Zugo prima del primo grant. Costa CHF 2-5K e blocca tutto. </w:t>
      </w:r>
      <w:hyperlink w:history="1" r:id="rIdgq-p5kvq0mla_pynwwayo">
        <w:r>
          <w:rPr>
            <w:rStyle w:val="Hyperlink"/>
            <w:rFonts w:ascii="Didact Gothic" w:cs="Didact Gothic" w:eastAsia="Didact Gothic" w:hAnsi="Didact Gothic"/>
            <w:sz w:val="18"/>
            <w:szCs w:val="18"/>
          </w:rPr>
          <w:t xml:space="preserve">Fonte VISCHER</w:t>
        </w:r>
      </w:hyperlink>
    </w:p>
    <w:p>
      <w:pPr>
        <w:pStyle w:val="Heading2"/>
      </w:pPr>
      <w:r>
        <w:t xml:space="preserve">Questo e' standard in Europa</w:t>
      </w:r>
    </w:p>
    <w:p>
      <w:pPr>
        <w:spacing w:after="200"/>
      </w:pPr>
      <w:r>
        <w:rPr>
          <w:rFonts w:ascii="Didact Gothic" w:cs="Didact Gothic" w:eastAsia="Didact Gothic" w:hAnsi="Didact Gothic"/>
          <w:color w:val="1A120B"/>
          <w:sz w:val="22"/>
          <w:szCs w:val="22"/>
        </w:rPr>
        <w:t xml:space="preserve">In Germania, i VSOP (l'equivalente locale dei phantom shares) sono la forma dominante di equity per i dipendenti. N26 ($9B valuation), Personio ($8.5B), e Celonis ($13B) hanno tutti usato strutture di partecipazione virtuale. In Svizzera, Ledgy (Zurigo, backed da Sequoia) offre strumenti dedicati per la gestione dei PSOP. Harvard Business School insegna il phantom stock come strumento standard di finanza aziendale. Non e' niente di nuovo o sperimentale. </w:t>
      </w:r>
      <w:hyperlink w:history="1" r:id="rIdtyvqldp-vsvlghyviistp">
        <w:r>
          <w:rPr>
            <w:rStyle w:val="Hyperlink"/>
            <w:rFonts w:ascii="Didact Gothic" w:cs="Didact Gothic" w:eastAsia="Didact Gothic" w:hAnsi="Didact Gothic"/>
            <w:sz w:val="18"/>
            <w:szCs w:val="18"/>
          </w:rPr>
          <w:t xml:space="preserve">Guida Saltox</w:t>
        </w:r>
      </w:hyperlink>
    </w:p>
    <w:p>
      <w:pPr>
        <w:pStyle w:val="Heading2"/>
      </w:pPr>
      <w:r>
        <w:t xml:space="preserve">Termini PSOP proposti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Parametro</w:t>
            </w:r>
          </w:p>
        </w:tc>
        <w:tc>
          <w:tcPr>
            <w:tcW w:type="dxa" w:w="6226"/>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Proposta</w:t>
            </w:r>
          </w:p>
        </w:tc>
      </w:tr>
      <w:tr>
        <w:tc>
          <w:tcPr>
            <w:tcW w:type="dxa" w:w="28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Pool size</w:t>
            </w:r>
          </w:p>
        </w:tc>
        <w:tc>
          <w:tcPr>
            <w:tcW w:type="dxa" w:w="6226"/>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5% equivalente economico</w:t>
            </w:r>
          </w:p>
        </w:tc>
      </w:tr>
      <w:tr>
        <w:tc>
          <w:tcPr>
            <w:tcW w:type="dxa" w:w="28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Impatto cap table</w:t>
            </w:r>
          </w:p>
        </w:tc>
        <w:tc>
          <w:tcPr>
            <w:tcW w:type="dxa" w:w="6226"/>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Nessuno. Cap table reale: Amedeo + Marco Corsaro 80%, Marco DC 20%</w:t>
            </w:r>
          </w:p>
        </w:tc>
      </w:tr>
      <w:tr>
        <w:tc>
          <w:tcPr>
            <w:tcW w:type="dxa" w:w="28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Vesting</w:t>
            </w:r>
          </w:p>
        </w:tc>
        <w:tc>
          <w:tcPr>
            <w:tcW w:type="dxa" w:w="6226"/>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4 anni, cliff di 1 anno, poi trimestrale</w:t>
            </w:r>
          </w:p>
        </w:tc>
      </w:tr>
      <w:tr>
        <w:tc>
          <w:tcPr>
            <w:tcW w:type="dxa" w:w="28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Trigger payout</w:t>
            </w:r>
          </w:p>
        </w:tc>
        <w:tc>
          <w:tcPr>
            <w:tcW w:type="dxa" w:w="6226"/>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Solo exit (acquisizione, IPO). Nessun obbligo di buyback anticipato</w:t>
            </w:r>
          </w:p>
        </w:tc>
      </w:tr>
      <w:tr>
        <w:tc>
          <w:tcPr>
            <w:tcW w:type="dxa" w:w="28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Accelerazione</w:t>
            </w:r>
          </w:p>
        </w:tc>
        <w:tc>
          <w:tcPr>
            <w:tcW w:type="dxa" w:w="6226"/>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Double trigger: solo se il dipendente viene licenziato entro 12 mesi post-exit</w:t>
            </w:r>
          </w:p>
        </w:tc>
      </w:tr>
      <w:tr>
        <w:tc>
          <w:tcPr>
            <w:tcW w:type="dxa" w:w="28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Good leaver</w:t>
            </w:r>
          </w:p>
        </w:tc>
        <w:tc>
          <w:tcPr>
            <w:tcW w:type="dxa" w:w="6226"/>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Tiene tutti i phantom shares vestiti, pagati all'exit</w:t>
            </w:r>
          </w:p>
        </w:tc>
      </w:tr>
      <w:tr>
        <w:tc>
          <w:tcPr>
            <w:tcW w:type="dxa" w:w="28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Bad leaver</w:t>
            </w:r>
          </w:p>
        </w:tc>
        <w:tc>
          <w:tcPr>
            <w:tcW w:type="dxa" w:w="6226"/>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Perde tutto (vestito + non vestito)</w:t>
            </w:r>
          </w:p>
        </w:tc>
      </w:tr>
      <w:tr>
        <w:tc>
          <w:tcPr>
            <w:tcW w:type="dxa" w:w="28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Valutazione</w:t>
            </w:r>
          </w:p>
        </w:tc>
        <w:tc>
          <w:tcPr>
            <w:tcW w:type="dxa" w:w="6226"/>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Ultimo round di finanziamento, o formula approvata dal CdA se pre-funding</w:t>
            </w:r>
          </w:p>
        </w:tc>
      </w:tr>
      <w:tr>
        <w:tc>
          <w:tcPr>
            <w:tcW w:type="dxa" w:w="28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Tax ruling</w:t>
            </w:r>
          </w:p>
        </w:tc>
        <w:tc>
          <w:tcPr>
            <w:tcW w:type="dxa" w:w="6226"/>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Filing al Canton Zugo prima del primo grant (costo stimato CHF 2-5K)</w:t>
            </w:r>
          </w:p>
        </w:tc>
      </w:tr>
    </w:tbl>
    <w:p>
      <w:pPr>
        <w:spacing w:after="0" w:before="200"/>
      </w:pPr>
    </w:p>
    <w:p>
      <w:pPr>
        <w:pStyle w:val="Heading2"/>
      </w:pPr>
      <w:r>
        <w:t xml:space="preserve">Chi paga all'exit?</w:t>
      </w:r>
    </w:p>
    <w:p>
      <w:pPr>
        <w:spacing w:after="200"/>
      </w:pPr>
      <w:r>
        <w:rPr>
          <w:rFonts w:ascii="Didact Gothic" w:cs="Didact Gothic" w:eastAsia="Didact Gothic" w:hAnsi="Didact Gothic"/>
          <w:i w:val="false"/>
          <w:iCs w:val="false"/>
          <w:color w:val="1A120B"/>
          <w:sz w:val="22"/>
          <w:szCs w:val="22"/>
        </w:rPr>
        <w:t xml:space="preserve">Domanda legittima. Il pool phantom viene pagato "off the top" dal prezzo di acquisto, prima che i proventi vengano distribuiti agli azionisti. Poi il restante viene diviso proporzionalmente.</w:t>
      </w:r>
    </w:p>
    <w:p>
      <w:pPr>
        <w:spacing w:after="200"/>
      </w:pPr>
      <w:r>
        <w:rPr>
          <w:rFonts w:ascii="Didact Gothic" w:cs="Didact Gothic" w:eastAsia="Didact Gothic" w:hAnsi="Didact Gothic"/>
          <w:i w:val="false"/>
          <w:iCs w:val="false"/>
          <w:color w:val="1A120B"/>
          <w:sz w:val="22"/>
          <w:szCs w:val="22"/>
        </w:rPr>
        <w:t xml:space="preserve">Esempio concreto: exit a EUR 50M con pool phantom al 5%.</w:t>
      </w:r>
    </w:p>
    <w:p>
      <w:pPr>
        <w:pStyle w:val="ListParagraph"/>
        <w:numPr>
          <w:ilvl w:val="0"/>
          <w:numId w:val="2"/>
        </w:numPr>
        <w:spacing w:after="200"/>
      </w:pPr>
      <w:r>
        <w:rPr>
          <w:rFonts w:ascii="Didact Gothic" w:cs="Didact Gothic" w:eastAsia="Didact Gothic" w:hAnsi="Didact Gothic"/>
          <w:i w:val="false"/>
          <w:iCs w:val="false"/>
          <w:color w:val="1A120B"/>
          <w:sz w:val="22"/>
          <w:szCs w:val="22"/>
        </w:rPr>
        <w:t xml:space="preserve">Pool phantom: EUR 2.5M (pagato ai dipendenti)</w:t>
      </w:r>
    </w:p>
    <w:p>
      <w:pPr>
        <w:pStyle w:val="ListParagraph"/>
        <w:numPr>
          <w:ilvl w:val="0"/>
          <w:numId w:val="2"/>
        </w:numPr>
        <w:spacing w:after="200"/>
      </w:pPr>
      <w:r>
        <w:rPr>
          <w:rFonts w:ascii="Didact Gothic" w:cs="Didact Gothic" w:eastAsia="Didact Gothic" w:hAnsi="Didact Gothic"/>
          <w:i w:val="false"/>
          <w:iCs w:val="false"/>
          <w:color w:val="1A120B"/>
          <w:sz w:val="22"/>
          <w:szCs w:val="22"/>
        </w:rPr>
        <w:t xml:space="preserve">Restante: EUR 47.5M diviso 80/20</w:t>
      </w:r>
    </w:p>
    <w:p>
      <w:pPr>
        <w:pStyle w:val="ListParagraph"/>
        <w:numPr>
          <w:ilvl w:val="0"/>
          <w:numId w:val="2"/>
        </w:numPr>
        <w:spacing w:after="200"/>
      </w:pPr>
      <w:r>
        <w:rPr>
          <w:rFonts w:ascii="Didact Gothic" w:cs="Didact Gothic" w:eastAsia="Didact Gothic" w:hAnsi="Didact Gothic"/>
          <w:i w:val="false"/>
          <w:iCs w:val="false"/>
          <w:color w:val="1A120B"/>
          <w:sz w:val="22"/>
          <w:szCs w:val="22"/>
        </w:rPr>
        <w:t xml:space="preserve">Amedeo + Marco Corsaro: EUR 38M (vs EUR 40M senza pool = costo EUR 2M)</w:t>
      </w:r>
    </w:p>
    <w:p>
      <w:pPr>
        <w:pStyle w:val="ListParagraph"/>
        <w:numPr>
          <w:ilvl w:val="0"/>
          <w:numId w:val="2"/>
        </w:numPr>
        <w:spacing w:after="200"/>
      </w:pPr>
      <w:r>
        <w:rPr>
          <w:rFonts w:ascii="Didact Gothic" w:cs="Didact Gothic" w:eastAsia="Didact Gothic" w:hAnsi="Didact Gothic"/>
          <w:i w:val="false"/>
          <w:iCs w:val="false"/>
          <w:color w:val="1A120B"/>
          <w:sz w:val="22"/>
          <w:szCs w:val="22"/>
        </w:rPr>
        <w:t xml:space="preserve">Marco DC: EUR 9.5M (vs EUR 10M senza pool = costo EUR 0.5M)</w:t>
      </w:r>
    </w:p>
    <w:p>
      <w:pPr>
        <w:spacing w:after="200"/>
      </w:pPr>
      <w:r>
        <w:rPr>
          <w:rFonts w:ascii="Didact Gothic" w:cs="Didact Gothic" w:eastAsia="Didact Gothic" w:hAnsi="Didact Gothic"/>
          <w:i w:val="false"/>
          <w:iCs w:val="false"/>
          <w:color w:val="1A120B"/>
          <w:sz w:val="22"/>
          <w:szCs w:val="22"/>
        </w:rPr>
        <w:t xml:space="preserve">Tutti pagano proporzionalmente alla propria quota. Nessuna sorpresa.</w:t>
      </w:r>
    </w:p>
    <w:p>
      <w:r>
        <w:br w:type="page"/>
      </w:r>
    </w:p>
    <w:p>
      <w:pPr>
        <w:pStyle w:val="Heading1"/>
      </w:pPr>
      <w:r>
        <w:t xml:space="preserve">5. Governance e protezioni reciproche</w:t>
      </w:r>
    </w:p>
    <w:p>
      <w:pPr>
        <w:spacing w:after="200"/>
      </w:pPr>
      <w:r>
        <w:rPr>
          <w:rFonts w:ascii="Didact Gothic" w:cs="Didact Gothic" w:eastAsia="Didact Gothic" w:hAnsi="Didact Gothic"/>
          <w:i w:val="false"/>
          <w:iCs w:val="false"/>
          <w:color w:val="1A120B"/>
          <w:sz w:val="22"/>
          <w:szCs w:val="22"/>
        </w:rPr>
        <w:t xml:space="preserve">Queste clausole proteggono tutti, non solo me. Un patto parasociale pulito rende l'azienda piu' facile da vendere, piu' facile per fare fundraising, e piu' facile da gestire.</w:t>
      </w:r>
    </w:p>
    <w:p>
      <w:pPr>
        <w:pStyle w:val="Heading2"/>
      </w:pPr>
      <w:r>
        <w:t xml:space="preserve">Consiglio di Amministrazione</w:t>
      </w:r>
    </w:p>
    <w:p>
      <w:pPr>
        <w:spacing w:after="200"/>
      </w:pPr>
      <w:r>
        <w:rPr>
          <w:rFonts w:ascii="Didact Gothic" w:cs="Didact Gothic" w:eastAsia="Didact Gothic" w:hAnsi="Didact Gothic"/>
          <w:i w:val="false"/>
          <w:iCs w:val="false"/>
          <w:color w:val="1A120B"/>
          <w:sz w:val="22"/>
          <w:szCs w:val="22"/>
        </w:rPr>
        <w:t xml:space="preserve">Tre membri: Amedeo, Marco Corsaro, io. Le decisioni importanti (fundraise, vendita, budget, assunzioni C-level) richiedono 2 su 3. Standard per una struttura a tre partner. Nessuno viene scavalcato unilateralmente, ma nessuno puo' bloccare il progresso da solo.</w:t>
      </w:r>
    </w:p>
    <w:p>
      <w:pPr>
        <w:pStyle w:val="Heading2"/>
      </w:pPr>
      <w:r>
        <w:t xml:space="preserve">Anti-diluizione</w:t>
      </w:r>
    </w:p>
    <w:p>
      <w:pPr>
        <w:spacing w:after="200"/>
      </w:pPr>
      <w:r>
        <w:rPr>
          <w:rFonts w:ascii="Didact Gothic" w:cs="Didact Gothic" w:eastAsia="Didact Gothic" w:hAnsi="Didact Gothic"/>
          <w:i w:val="false"/>
          <w:iCs w:val="false"/>
          <w:color w:val="1A120B"/>
          <w:sz w:val="22"/>
          <w:szCs w:val="22"/>
        </w:rPr>
        <w:t xml:space="preserve">Amedeo ha detto che vuole trovare un modo per proteggermi dalla diluizione. L'approccio piu' semplice: diritti pro-rata. In qualsiasi round futuro, ogni azionista esistente puo' investire proporzionalmente per mantenere la propria percentuale. Se qualcuno non puo' o non vuole investire, accetta la diluizione. Ma l'opzione deve esistere.</w:t>
      </w:r>
    </w:p>
    <w:p>
      <w:pPr>
        <w:spacing w:after="200"/>
      </w:pPr>
      <w:r>
        <w:rPr>
          <w:rFonts w:ascii="Didact Gothic" w:cs="Didact Gothic" w:eastAsia="Didact Gothic" w:hAnsi="Didact Gothic"/>
          <w:i w:val="false"/>
          <w:iCs w:val="false"/>
          <w:color w:val="1A120B"/>
          <w:sz w:val="22"/>
          <w:szCs w:val="22"/>
        </w:rPr>
        <w:t xml:space="preserve">In aggiunta, propongo un floor: la mia partecipazione post-Series A non puo' scendere sotto il 15% senza il mio consenso. Questo in realta' aiuta tutti. Gli investitori vogliono vedere un CEO con equity significativa. Un CEO all'8% dopo la diluizione e' un flight risk. Un CEO bloccato al 15%+ e' impegnato. E' un punto di forza nel pitch, non una restrizione.</w:t>
      </w:r>
    </w:p>
    <w:p>
      <w:pPr>
        <w:pStyle w:val="Heading2"/>
      </w:pPr>
      <w:r>
        <w:t xml:space="preserve">Drag-along e tag-along</w:t>
      </w:r>
    </w:p>
    <w:p>
      <w:pPr>
        <w:spacing w:after="200"/>
      </w:pPr>
      <w:r>
        <w:rPr>
          <w:rFonts w:ascii="Didact Gothic" w:cs="Didact Gothic" w:eastAsia="Didact Gothic" w:hAnsi="Didact Gothic"/>
          <w:b/>
          <w:bCs/>
          <w:color w:val="1A120B"/>
          <w:sz w:val="22"/>
          <w:szCs w:val="22"/>
        </w:rPr>
        <w:t xml:space="preserve">Drag-along: </w:t>
      </w:r>
      <w:r>
        <w:rPr>
          <w:rFonts w:ascii="Didact Gothic" w:cs="Didact Gothic" w:eastAsia="Didact Gothic" w:hAnsi="Didact Gothic"/>
          <w:i w:val="false"/>
          <w:iCs w:val="false"/>
          <w:color w:val="1A120B"/>
          <w:sz w:val="22"/>
          <w:szCs w:val="22"/>
        </w:rPr>
        <w:t xml:space="preserve">Se i titolari del 75%+ delle azioni concordano di vendere l'azienda, tutti gli altri azionisti devono vendere alle stesse condizioni. Questo protegge Amedeo e Marco Corsaro: nessun azionista di minoranza puo' bloccare un'exit.</w:t>
      </w:r>
    </w:p>
    <w:p>
      <w:pPr>
        <w:spacing w:after="200"/>
      </w:pPr>
      <w:r>
        <w:rPr>
          <w:rFonts w:ascii="Didact Gothic" w:cs="Didact Gothic" w:eastAsia="Didact Gothic" w:hAnsi="Didact Gothic"/>
          <w:b/>
          <w:bCs/>
          <w:color w:val="1A120B"/>
          <w:sz w:val="22"/>
          <w:szCs w:val="22"/>
        </w:rPr>
        <w:t xml:space="preserve">Tag-along: </w:t>
      </w:r>
      <w:r>
        <w:rPr>
          <w:rFonts w:ascii="Didact Gothic" w:cs="Didact Gothic" w:eastAsia="Didact Gothic" w:hAnsi="Didact Gothic"/>
          <w:i w:val="false"/>
          <w:iCs w:val="false"/>
          <w:color w:val="1A120B"/>
          <w:sz w:val="22"/>
          <w:szCs w:val="22"/>
        </w:rPr>
        <w:t xml:space="preserve">Se qualsiasi azionista riceve un'offerta per vendere le proprie azioni, ogni altro azionista ha il diritto di unirsi alla vendita alle stesse condizioni e prezzo. Questo protegge me: nessuno fa un'exit privata mentre io resto fuori.</w:t>
      </w:r>
    </w:p>
    <w:p>
      <w:pPr>
        <w:spacing w:after="200"/>
      </w:pPr>
      <w:r>
        <w:rPr>
          <w:rFonts w:ascii="Didact Gothic" w:cs="Didact Gothic" w:eastAsia="Didact Gothic" w:hAnsi="Didact Gothic"/>
          <w:i w:val="false"/>
          <w:iCs w:val="false"/>
          <w:color w:val="1A120B"/>
          <w:sz w:val="22"/>
          <w:szCs w:val="22"/>
        </w:rPr>
        <w:t xml:space="preserve">Entrambe sono standard nei patti parasociali svizzeri. Entrambe proteggono tutti in modo equo.</w:t>
      </w:r>
    </w:p>
    <w:p>
      <w:pPr>
        <w:pStyle w:val="Heading2"/>
      </w:pPr>
      <w:r>
        <w:t xml:space="preserve">Risoluzione deadlock</w:t>
      </w:r>
    </w:p>
    <w:p>
      <w:pPr>
        <w:spacing w:after="200"/>
      </w:pPr>
      <w:r>
        <w:rPr>
          <w:rFonts w:ascii="Didact Gothic" w:cs="Didact Gothic" w:eastAsia="Didact Gothic" w:hAnsi="Didact Gothic"/>
          <w:i w:val="false"/>
          <w:iCs w:val="false"/>
          <w:color w:val="1A120B"/>
          <w:sz w:val="22"/>
          <w:szCs w:val="22"/>
        </w:rPr>
        <w:t xml:space="preserve">Se il CdA e' bloccato 1-1-1 su una decisione materiale, ci impegniamo a coinvolgere un mediatore (o un advisor concordato) prima di fare qualsiasi cosa drastica. E' una valvola di sicurezza. Significa che ci impegniamo a risolvere i disaccordi in modo costruttivo piuttosto che lasciarli escalare.</w:t>
      </w:r>
    </w:p>
    <w:p>
      <w:pPr>
        <w:pStyle w:val="Heading2"/>
      </w:pPr>
      <w:r>
        <w:t xml:space="preserve">Autonomia operativa</w:t>
      </w:r>
    </w:p>
    <w:p>
      <w:pPr>
        <w:spacing w:after="200"/>
      </w:pPr>
      <w:r>
        <w:rPr>
          <w:rFonts w:ascii="Didact Gothic" w:cs="Didact Gothic" w:eastAsia="Didact Gothic" w:hAnsi="Didact Gothic"/>
          <w:i w:val="false"/>
          <w:iCs w:val="false"/>
          <w:color w:val="1A120B"/>
          <w:sz w:val="22"/>
          <w:szCs w:val="22"/>
        </w:rPr>
        <w:t xml:space="preserve">Piena autorita' CEO su prodotto, assunzioni e spesa entro il budget annuale approvato. Financials mensili al board, review strategiche trimestrali. La velocita' di una startup dipende dall'operatore che puo' muoversi veloce. Saro' trasparente su tutto, ma ho bisogno dello spazio per eseguire.</w:t>
      </w:r>
    </w:p>
    <w:p>
      <w:pPr>
        <w:pStyle w:val="Heading2"/>
      </w:pPr>
      <w:r>
        <w:t xml:space="preserve">Non-compete</w:t>
      </w:r>
    </w:p>
    <w:p>
      <w:pPr>
        <w:spacing w:after="200"/>
      </w:pPr>
      <w:r>
        <w:rPr>
          <w:rFonts w:ascii="Didact Gothic" w:cs="Didact Gothic" w:eastAsia="Didact Gothic" w:hAnsi="Didact Gothic"/>
          <w:i w:val="false"/>
          <w:iCs w:val="false"/>
          <w:color w:val="1A120B"/>
          <w:sz w:val="22"/>
          <w:szCs w:val="22"/>
        </w:rPr>
        <w:t xml:space="preserve">12 mesi, limitato a hotel AI SaaS in Europa, applicabile solo se sono good leaver. Se vengo mandato via senza giusta causa, nessun non-compete. Giusto e standard.</w:t>
      </w:r>
    </w:p>
    <w:p>
      <w:pPr>
        <w:pStyle w:val="Heading2"/>
      </w:pPr>
      <w:r>
        <w:t xml:space="preserve">Diritti di informazione</w:t>
      </w:r>
    </w:p>
    <w:p>
      <w:pPr>
        <w:spacing w:after="200"/>
      </w:pPr>
      <w:r>
        <w:rPr>
          <w:rFonts w:ascii="Didact Gothic" w:cs="Didact Gothic" w:eastAsia="Didact Gothic" w:hAnsi="Didact Gothic"/>
          <w:i w:val="false"/>
          <w:iCs w:val="false"/>
          <w:color w:val="1A120B"/>
          <w:sz w:val="22"/>
          <w:szCs w:val="22"/>
        </w:rPr>
        <w:t xml:space="preserve">Tutti gli azionisti ricevono financials trimestrali, bilancio annuale revisionato, e preavviso su qualsiasi evento materiale (funding, discussioni di vendita, assunzioni/partenze chiave). Trasparenza in entrambe le direzioni.</w:t>
      </w:r>
    </w:p>
    <w:p>
      <w:r>
        <w:br w:type="page"/>
      </w:r>
    </w:p>
    <w:p>
      <w:pPr>
        <w:pStyle w:val="Heading1"/>
      </w:pPr>
      <w:r>
        <w:t xml:space="preserve">6. Perche' AG e non GmbH</w:t>
      </w:r>
    </w:p>
    <w:p>
      <w:pPr>
        <w:spacing w:after="200"/>
      </w:pPr>
      <w:r>
        <w:rPr>
          <w:rFonts w:ascii="Didact Gothic" w:cs="Didact Gothic" w:eastAsia="Didact Gothic" w:hAnsi="Didact Gothic"/>
          <w:i w:val="false"/>
          <w:iCs w:val="false"/>
          <w:color w:val="1A120B"/>
          <w:sz w:val="22"/>
          <w:szCs w:val="22"/>
        </w:rPr>
        <w:t xml:space="preserve">So che non ne abbiamo parlato esplicitamente, ma e' un punto importante da chiarire subito prima di costituire. Per quello che vogliamo fare, la forma giusta e' la AG (Aktiengesellschaft), non la GmbH.</w:t>
      </w:r>
    </w:p>
    <w:p>
      <w:pPr>
        <w:pStyle w:val="Heading2"/>
      </w:pPr>
      <w:r>
        <w:t xml:space="preserve">Le differenze che contano per noi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13"/>
        <w:gridCol w:w="3113"/>
      </w:tblGrid>
      <w:tr>
        <w:tc>
          <w:tcPr>
            <w:tcW w:type="dxa" w:w="2800"/>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Tema</w:t>
            </w:r>
          </w:p>
        </w:tc>
        <w:tc>
          <w:tcPr>
            <w:tcW w:type="dxa" w:w="3113"/>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GmbH</w:t>
            </w:r>
          </w:p>
        </w:tc>
        <w:tc>
          <w:tcPr>
            <w:tcW w:type="dxa" w:w="3113"/>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AG</w:t>
            </w:r>
          </w:p>
        </w:tc>
      </w:tr>
      <w:tr>
        <w:tc>
          <w:tcPr>
            <w:tcW w:type="dxa" w:w="28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Capitale minimo</w:t>
            </w:r>
          </w:p>
        </w:tc>
        <w:tc>
          <w:tcPr>
            <w:tcW w:type="dxa" w:w="31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CHF 20K (versato 100%)</w:t>
            </w:r>
          </w:p>
        </w:tc>
        <w:tc>
          <w:tcPr>
            <w:tcW w:type="dxa" w:w="31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CHF 100K (versato min 50K)</w:t>
            </w:r>
          </w:p>
        </w:tc>
      </w:tr>
      <w:tr>
        <w:tc>
          <w:tcPr>
            <w:tcW w:type="dxa" w:w="28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Trasferimento azioni</w:t>
            </w:r>
          </w:p>
        </w:tc>
        <w:tc>
          <w:tcPr>
            <w:tcW w:type="dxa" w:w="31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Serve notaio + registro commercio</w:t>
            </w:r>
          </w:p>
        </w:tc>
        <w:tc>
          <w:tcPr>
            <w:tcW w:type="dxa" w:w="31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3A7D44"/>
                <w:sz w:val="18"/>
                <w:szCs w:val="18"/>
              </w:rPr>
              <w:t xml:space="preserve">Dichiarazione scritta + registro azionisti</w:t>
            </w:r>
          </w:p>
        </w:tc>
      </w:tr>
      <w:tr>
        <w:tc>
          <w:tcPr>
            <w:tcW w:type="dxa" w:w="28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Capitale condizionale</w:t>
            </w:r>
          </w:p>
        </w:tc>
        <w:tc>
          <w:tcPr>
            <w:tcW w:type="dxa" w:w="31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B33A3A"/>
                <w:sz w:val="18"/>
                <w:szCs w:val="18"/>
              </w:rPr>
              <w:t xml:space="preserve">Non disponibile</w:t>
            </w:r>
          </w:p>
        </w:tc>
        <w:tc>
          <w:tcPr>
            <w:tcW w:type="dxa" w:w="31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3A7D44"/>
                <w:sz w:val="18"/>
                <w:szCs w:val="18"/>
              </w:rPr>
              <w:t xml:space="preserve">Disponibile (fondamentale per ESOP/PSOP)</w:t>
            </w:r>
          </w:p>
        </w:tc>
      </w:tr>
      <w:tr>
        <w:tc>
          <w:tcPr>
            <w:tcW w:type="dxa" w:w="28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Banda di capitale</w:t>
            </w:r>
          </w:p>
        </w:tc>
        <w:tc>
          <w:tcPr>
            <w:tcW w:type="dxa" w:w="31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B33A3A"/>
                <w:sz w:val="18"/>
                <w:szCs w:val="18"/>
              </w:rPr>
              <w:t xml:space="preserve">Non disponibile</w:t>
            </w:r>
          </w:p>
        </w:tc>
        <w:tc>
          <w:tcPr>
            <w:tcW w:type="dxa" w:w="31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3A7D44"/>
                <w:sz w:val="18"/>
                <w:szCs w:val="18"/>
              </w:rPr>
              <w:t xml:space="preserve">Disponibile (semplifica fundraising)</w:t>
            </w:r>
          </w:p>
        </w:tc>
      </w:tr>
      <w:tr>
        <w:tc>
          <w:tcPr>
            <w:tcW w:type="dxa" w:w="28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Doveri fiduciari soci</w:t>
            </w:r>
          </w:p>
        </w:tc>
        <w:tc>
          <w:tcPr>
            <w:tcW w:type="dxa" w:w="31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Si (obbligo legale di non danneggiare)</w:t>
            </w:r>
          </w:p>
        </w:tc>
        <w:tc>
          <w:tcPr>
            <w:tcW w:type="dxa" w:w="31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3A7D44"/>
                <w:sz w:val="18"/>
                <w:szCs w:val="18"/>
              </w:rPr>
              <w:t xml:space="preserve">No (solo impegno finanziario)</w:t>
            </w:r>
          </w:p>
        </w:tc>
      </w:tr>
      <w:tr>
        <w:tc>
          <w:tcPr>
            <w:tcW w:type="dxa" w:w="28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Vista investitori</w:t>
            </w:r>
          </w:p>
        </w:tc>
        <w:tc>
          <w:tcPr>
            <w:tcW w:type="dxa" w:w="31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Meno attrattiva per VC</w:t>
            </w:r>
          </w:p>
        </w:tc>
        <w:tc>
          <w:tcPr>
            <w:tcW w:type="dxa" w:w="31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3A7D44"/>
                <w:sz w:val="18"/>
                <w:szCs w:val="18"/>
              </w:rPr>
              <w:t xml:space="preserve">Standard per VC/startup growth</w:t>
            </w:r>
          </w:p>
        </w:tc>
      </w:tr>
      <w:tr>
        <w:tc>
          <w:tcPr>
            <w:tcW w:type="dxa" w:w="28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Privacy azionisti</w:t>
            </w:r>
          </w:p>
        </w:tc>
        <w:tc>
          <w:tcPr>
            <w:tcW w:type="dxa" w:w="31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Nomi nel registro commercio (pubblici)</w:t>
            </w:r>
          </w:p>
        </w:tc>
        <w:tc>
          <w:tcPr>
            <w:tcW w:type="dxa" w:w="31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Solo nel registro azionisti (privato)</w:t>
            </w:r>
          </w:p>
        </w:tc>
      </w:tr>
    </w:tbl>
    <w:p>
      <w:pPr>
        <w:spacing w:after="0" w:before="200"/>
      </w:pPr>
    </w:p>
    <w:p>
      <w:pPr>
        <w:pStyle w:val="Heading2"/>
      </w:pPr>
      <w:r>
        <w:t xml:space="preserve">I tre motivi decisivi</w:t>
      </w:r>
    </w:p>
    <w:p>
      <w:pPr>
        <w:spacing w:after="200"/>
      </w:pPr>
      <w:r>
        <w:rPr>
          <w:rFonts w:ascii="Didact Gothic" w:cs="Didact Gothic" w:eastAsia="Didact Gothic" w:hAnsi="Didact Gothic"/>
          <w:b/>
          <w:bCs/>
          <w:color w:val="1A120B"/>
          <w:sz w:val="22"/>
          <w:szCs w:val="22"/>
        </w:rPr>
        <w:t xml:space="preserve">1. Capitale condizionale e banda di capitale: </w:t>
      </w:r>
      <w:r>
        <w:rPr>
          <w:rFonts w:ascii="Didact Gothic" w:cs="Didact Gothic" w:eastAsia="Didact Gothic" w:hAnsi="Didact Gothic"/>
          <w:i w:val="false"/>
          <w:iCs w:val="false"/>
          <w:color w:val="1A120B"/>
          <w:sz w:val="22"/>
          <w:szCs w:val="22"/>
        </w:rPr>
        <w:t xml:space="preserve">Le GmbH non possono avere capitale condizionale. Per una startup che vuole fare equity participation plans e raccogliere capitale velocemente, questo e' un limite strutturale. La AG puo' emettere nuove azioni senza il consenso degli azionisti esistenti tramite il capitale condizionale, che e' esattamente quello che ci servira' per il PSOP e per i futuri round di finanziamento.</w:t>
      </w:r>
    </w:p>
    <w:p>
      <w:pPr>
        <w:spacing w:after="100"/>
      </w:pPr>
      <w:r>
        <w:rPr>
          <w:rFonts w:ascii="Didact Gothic" w:cs="Didact Gothic" w:eastAsia="Didact Gothic" w:hAnsi="Didact Gothic"/>
          <w:i/>
          <w:iCs/>
          <w:color w:val="7A6E63"/>
          <w:sz w:val="18"/>
          <w:szCs w:val="18"/>
        </w:rPr>
        <w:t xml:space="preserve">LEXR: "La AG offre vantaggi decisivi per le startup ad alta crescita: accesso al capitale piu' facile." </w:t>
      </w:r>
      <w:hyperlink w:history="1" r:id="rIdecsta0lbcxaiapplwulcu">
        <w:r>
          <w:rPr>
            <w:rStyle w:val="Hyperlink"/>
            <w:rFonts w:ascii="Didact Gothic" w:cs="Didact Gothic" w:eastAsia="Didact Gothic" w:hAnsi="Didact Gothic"/>
            <w:sz w:val="18"/>
            <w:szCs w:val="18"/>
          </w:rPr>
          <w:t xml:space="preserve">Fonte</w:t>
        </w:r>
      </w:hyperlink>
    </w:p>
    <w:p>
      <w:pPr>
        <w:spacing w:after="200"/>
      </w:pPr>
      <w:r>
        <w:rPr>
          <w:rFonts w:ascii="Didact Gothic" w:cs="Didact Gothic" w:eastAsia="Didact Gothic" w:hAnsi="Didact Gothic"/>
          <w:b/>
          <w:bCs/>
          <w:color w:val="1A120B"/>
          <w:sz w:val="22"/>
          <w:szCs w:val="22"/>
        </w:rPr>
        <w:t xml:space="preserve">2. Trasferimento azioni semplificato: </w:t>
      </w:r>
      <w:r>
        <w:rPr>
          <w:rFonts w:ascii="Didact Gothic" w:cs="Didact Gothic" w:eastAsia="Didact Gothic" w:hAnsi="Didact Gothic"/>
          <w:i w:val="false"/>
          <w:iCs w:val="false"/>
          <w:color w:val="1A120B"/>
          <w:sz w:val="22"/>
          <w:szCs w:val="22"/>
        </w:rPr>
        <w:t xml:space="preserve">Nella GmbH, ogni trasferimento di quote richiede un atto notarile e l'iscrizione al registro di commercio. Nella AG, basta una dichiarazione scritta di cessione e la registrazione nel libro soci. Quando faremo fundraising, questa differenza si traduce in settimane di differenza e migliaia di franchi di costi legali.</w:t>
      </w:r>
    </w:p>
    <w:p>
      <w:pPr>
        <w:spacing w:after="100"/>
      </w:pPr>
      <w:r>
        <w:rPr>
          <w:rFonts w:ascii="Didact Gothic" w:cs="Didact Gothic" w:eastAsia="Didact Gothic" w:hAnsi="Didact Gothic"/>
          <w:i/>
          <w:iCs/>
          <w:color w:val="7A6E63"/>
          <w:sz w:val="18"/>
          <w:szCs w:val="18"/>
        </w:rPr>
        <w:t xml:space="preserve">Embark.law: "Se prevedete investitori esterni o volete implementare un ESOP, spesso non c'e' alternativa alla conversione in AG." </w:t>
      </w:r>
      <w:hyperlink w:history="1" r:id="rId5hvsnb9w0q2qktyhiztij">
        <w:r>
          <w:rPr>
            <w:rStyle w:val="Hyperlink"/>
            <w:rFonts w:ascii="Didact Gothic" w:cs="Didact Gothic" w:eastAsia="Didact Gothic" w:hAnsi="Didact Gothic"/>
            <w:sz w:val="18"/>
            <w:szCs w:val="18"/>
          </w:rPr>
          <w:t xml:space="preserve">Fonte</w:t>
        </w:r>
      </w:hyperlink>
    </w:p>
    <w:p>
      <w:pPr>
        <w:spacing w:after="200"/>
      </w:pPr>
      <w:r>
        <w:rPr>
          <w:rFonts w:ascii="Didact Gothic" w:cs="Didact Gothic" w:eastAsia="Didact Gothic" w:hAnsi="Didact Gothic"/>
          <w:b/>
          <w:bCs/>
          <w:color w:val="1A120B"/>
          <w:sz w:val="22"/>
          <w:szCs w:val="22"/>
        </w:rPr>
        <w:t xml:space="preserve">3. Nessun obbligo fiduciario per gli investitori: </w:t>
      </w:r>
      <w:r>
        <w:rPr>
          <w:rFonts w:ascii="Didact Gothic" w:cs="Didact Gothic" w:eastAsia="Didact Gothic" w:hAnsi="Didact Gothic"/>
          <w:i w:val="false"/>
          <w:iCs w:val="false"/>
          <w:color w:val="1A120B"/>
          <w:sz w:val="22"/>
          <w:szCs w:val="22"/>
        </w:rPr>
        <w:t xml:space="preserve">Nella GmbH, i soci hanno un obbligo fiduciario legale verso la societa': non possono fare nulla che danneggi gli interessi aziendali. Nella AG, gli azionisti impegnano solo il loro denaro. Gli investitori VC non vogliono assumersi doveri fiduciari verso le startup in cui investono. Se ci presentiamo come GmbH al primo round serio, la prima cosa che ci chiederanno e' di convertire in AG. Meglio partire gia' nel modo giusto.</w:t>
      </w:r>
    </w:p>
    <w:p>
      <w:pPr>
        <w:spacing w:after="100"/>
      </w:pPr>
      <w:r>
        <w:rPr>
          <w:rFonts w:ascii="Didact Gothic" w:cs="Didact Gothic" w:eastAsia="Didact Gothic" w:hAnsi="Didact Gothic"/>
          <w:i/>
          <w:iCs/>
          <w:color w:val="7A6E63"/>
          <w:sz w:val="18"/>
          <w:szCs w:val="18"/>
        </w:rPr>
        <w:t xml:space="preserve">SwissFirma: "Gli investitori di solito non hanno interesse a essere soggetti a doveri fiduciari verso le startup in cui investono." </w:t>
      </w:r>
      <w:hyperlink w:history="1" r:id="rIdr7udzpvnmagiozrqcv8wj">
        <w:r>
          <w:rPr>
            <w:rStyle w:val="Hyperlink"/>
            <w:rFonts w:ascii="Didact Gothic" w:cs="Didact Gothic" w:eastAsia="Didact Gothic" w:hAnsi="Didact Gothic"/>
            <w:sz w:val="18"/>
            <w:szCs w:val="18"/>
          </w:rPr>
          <w:t xml:space="preserve">Fonte</w:t>
        </w:r>
      </w:hyperlink>
    </w:p>
    <w:p>
      <w:pPr>
        <w:spacing w:after="0" w:before="200"/>
      </w:pPr>
    </w:p>
    <w:p>
      <w:pPr>
        <w:spacing w:after="200"/>
      </w:pPr>
      <w:r>
        <w:rPr>
          <w:rFonts w:ascii="Didact Gothic" w:cs="Didact Gothic" w:eastAsia="Didact Gothic" w:hAnsi="Didact Gothic"/>
          <w:i w:val="false"/>
          <w:iCs w:val="false"/>
          <w:color w:val="1A120B"/>
          <w:sz w:val="22"/>
          <w:szCs w:val="22"/>
        </w:rPr>
        <w:t xml:space="preserve">Si', la AG costa di piu' all'inizio (CHF 100K vs 20K di capitale minimo, di cui almeno CHF 50K versato). Ma e' un investimento che evita la conversione forzata piu' avanti, che costa tempo e soldi. Tutte le startup svizzere serie che raccolgono VC sono AG.</w:t>
      </w:r>
    </w:p>
    <w:p>
      <w:r>
        <w:br w:type="page"/>
      </w:r>
    </w:p>
    <w:p>
      <w:pPr>
        <w:pStyle w:val="Heading1"/>
      </w:pPr>
      <w:r>
        <w:t xml:space="preserve">7. Una nota sul nome</w:t>
      </w:r>
    </w:p>
    <w:p>
      <w:pPr>
        <w:spacing w:after="200"/>
      </w:pPr>
      <w:r>
        <w:rPr>
          <w:rFonts w:ascii="Didact Gothic" w:cs="Didact Gothic" w:eastAsia="Didact Gothic" w:hAnsi="Didact Gothic"/>
          <w:i w:val="false"/>
          <w:iCs w:val="false"/>
          <w:color w:val="1A120B"/>
          <w:sz w:val="22"/>
          <w:szCs w:val="22"/>
        </w:rPr>
        <w:t xml:space="preserve">Il nome Lumina e' bellissimo. Mi piace molto, e funziona perfettamente come brand nell'hospitality: caldo, elegante, internazionale. Su questo non ho dubbi.</w:t>
      </w:r>
    </w:p>
    <w:p>
      <w:pPr>
        <w:spacing w:after="200"/>
      </w:pPr>
      <w:r>
        <w:rPr>
          <w:rFonts w:ascii="Didact Gothic" w:cs="Didact Gothic" w:eastAsia="Didact Gothic" w:hAnsi="Didact Gothic"/>
          <w:i w:val="false"/>
          <w:iCs w:val="false"/>
          <w:color w:val="1A120B"/>
          <w:sz w:val="22"/>
          <w:szCs w:val="22"/>
        </w:rPr>
        <w:t xml:space="preserve">Ho fatto un po' di ricerca sui domini perche' me lo sono chiesto, e vi condivido quello che ho trovato:</w:t>
      </w:r>
    </w:p>
    <w:p>
      <w:pPr>
        <w:pStyle w:val="ListParagraph"/>
        <w:numPr>
          <w:ilvl w:val="0"/>
          <w:numId w:val="2"/>
        </w:numPr>
        <w:spacing w:after="200"/>
      </w:pPr>
      <w:r>
        <w:rPr>
          <w:rFonts w:ascii="Didact Gothic" w:cs="Didact Gothic" w:eastAsia="Didact Gothic" w:hAnsi="Didact Gothic"/>
          <w:i w:val="false"/>
          <w:iCs w:val="false"/>
          <w:color w:val="1A120B"/>
          <w:sz w:val="22"/>
          <w:szCs w:val="22"/>
        </w:rPr>
        <w:t xml:space="preserve">lumina.com e' registrato dal 1993 (GoDaddy), probabilmente costa una fortuna o non e' in vendita.</w:t>
      </w:r>
    </w:p>
    <w:p>
      <w:pPr>
        <w:pStyle w:val="ListParagraph"/>
        <w:numPr>
          <w:ilvl w:val="0"/>
          <w:numId w:val="2"/>
        </w:numPr>
        <w:spacing w:after="200"/>
      </w:pPr>
      <w:r>
        <w:rPr>
          <w:rFonts w:ascii="Didact Gothic" w:cs="Didact Gothic" w:eastAsia="Didact Gothic" w:hAnsi="Didact Gothic"/>
          <w:i w:val="false"/>
          <w:iCs w:val="false"/>
          <w:color w:val="1A120B"/>
          <w:sz w:val="22"/>
          <w:szCs w:val="22"/>
        </w:rPr>
        <w:t xml:space="preserve">lumina.ai e' gia' occupato (RealPage lo usa per un prodotto di AI nel real estate).</w:t>
      </w:r>
    </w:p>
    <w:p>
      <w:pPr>
        <w:pStyle w:val="ListParagraph"/>
        <w:numPr>
          <w:ilvl w:val="0"/>
          <w:numId w:val="2"/>
        </w:numPr>
        <w:spacing w:after="200"/>
      </w:pPr>
      <w:r>
        <w:rPr>
          <w:rFonts w:ascii="Didact Gothic" w:cs="Didact Gothic" w:eastAsia="Didact Gothic" w:hAnsi="Didact Gothic"/>
          <w:i w:val="false"/>
          <w:iCs w:val="false"/>
          <w:color w:val="1A120B"/>
          <w:sz w:val="22"/>
          <w:szCs w:val="22"/>
        </w:rPr>
        <w:t xml:space="preserve">Questo vuol dire che finiremmo con qualcosa tipo uselumina.com, getlumina.com, lumina.io, o luminahotels.com. Non e' un dramma, tante aziende partono cosi'. Ma vale la pena saperlo.</w:t>
      </w:r>
    </w:p>
    <w:p>
      <w:pPr>
        <w:spacing w:after="200"/>
      </w:pPr>
      <w:r>
        <w:rPr>
          <w:rFonts w:ascii="Didact Gothic" w:cs="Didact Gothic" w:eastAsia="Didact Gothic" w:hAnsi="Didact Gothic"/>
          <w:i w:val="false"/>
          <w:iCs w:val="false"/>
          <w:color w:val="1A120B"/>
          <w:sz w:val="22"/>
          <w:szCs w:val="22"/>
        </w:rPr>
        <w:t xml:space="preserve">Per confronto, tercier.com e tercier.ai sono entrambi disponibili, non confondibili, e memorizzabili. Non sto dicendo di cambiare nome, dico solo che e' un tema da discutere insieme prima di registrare il dominio.</w:t>
      </w:r>
    </w:p>
    <w:p>
      <w:pPr>
        <w:spacing w:after="200"/>
      </w:pPr>
      <w:r>
        <w:rPr>
          <w:rFonts w:ascii="Didact Gothic" w:cs="Didact Gothic" w:eastAsia="Didact Gothic" w:hAnsi="Didact Gothic"/>
          <w:i w:val="false"/>
          <w:iCs w:val="false"/>
          <w:color w:val="1A120B"/>
          <w:sz w:val="22"/>
          <w:szCs w:val="22"/>
        </w:rPr>
        <w:t xml:space="preserve">In ogni caso, qualunque nome scegliamo, la cosa importante e' il prodotto. Il nome si puo' sempre gestire.</w:t>
      </w:r>
    </w:p>
    <w:p>
      <w:r>
        <w:br w:type="page"/>
      </w:r>
    </w:p>
    <w:p>
      <w:pPr>
        <w:pStyle w:val="Heading1"/>
      </w:pPr>
      <w:r>
        <w:t xml:space="preserve">8. Prossimi passi</w:t>
      </w:r>
    </w:p>
    <w:p>
      <w:pPr>
        <w:pStyle w:val="ListParagraph"/>
        <w:numPr>
          <w:ilvl w:val="0"/>
          <w:numId w:val="3"/>
        </w:numPr>
        <w:spacing w:after="200"/>
      </w:pPr>
      <w:r>
        <w:rPr>
          <w:rFonts w:ascii="Didact Gothic" w:cs="Didact Gothic" w:eastAsia="Didact Gothic" w:hAnsi="Didact Gothic"/>
          <w:i w:val="false"/>
          <w:iCs w:val="false"/>
          <w:color w:val="1A120B"/>
          <w:sz w:val="22"/>
          <w:szCs w:val="22"/>
        </w:rPr>
        <w:t xml:space="preserve">Allineiamoci sui termini commerciali. Niente avvocati per ora, solo noi tre che concordiamo i numeri e i principi.</w:t>
      </w:r>
    </w:p>
    <w:p>
      <w:pPr>
        <w:pStyle w:val="ListParagraph"/>
        <w:numPr>
          <w:ilvl w:val="0"/>
          <w:numId w:val="3"/>
        </w:numPr>
        <w:spacing w:after="200"/>
      </w:pPr>
      <w:r>
        <w:rPr>
          <w:rFonts w:ascii="Didact Gothic" w:cs="Didact Gothic" w:eastAsia="Didact Gothic" w:hAnsi="Didact Gothic"/>
          <w:i w:val="false"/>
          <w:iCs w:val="false"/>
          <w:color w:val="1A120B"/>
          <w:sz w:val="22"/>
          <w:szCs w:val="22"/>
        </w:rPr>
        <w:t xml:space="preserve">Una volta allineati, il commercialista che Amedeo conosce o un altro professionista di fiducia puo' preparare il patto parasociale e il Phantom Share Plan. Decidete voi chi coinvolgere.</w:t>
      </w:r>
    </w:p>
    <w:p>
      <w:pPr>
        <w:pStyle w:val="ListParagraph"/>
        <w:numPr>
          <w:ilvl w:val="0"/>
          <w:numId w:val="3"/>
        </w:numPr>
        <w:spacing w:after="200"/>
      </w:pPr>
      <w:r>
        <w:rPr>
          <w:rFonts w:ascii="Didact Gothic" w:cs="Didact Gothic" w:eastAsia="Didact Gothic" w:hAnsi="Didact Gothic"/>
          <w:i w:val="false"/>
          <w:iCs w:val="false"/>
          <w:color w:val="1A120B"/>
          <w:sz w:val="22"/>
          <w:szCs w:val="22"/>
        </w:rPr>
        <w:t xml:space="preserve">Tax ruling al Canton Zugo per il PSOP (CHF 2-5K, 4-6 settimane). Questo blocca il trattamento fiscale per tutti.</w:t>
      </w:r>
    </w:p>
    <w:p>
      <w:pPr>
        <w:pStyle w:val="ListParagraph"/>
        <w:numPr>
          <w:ilvl w:val="0"/>
          <w:numId w:val="3"/>
        </w:numPr>
        <w:spacing w:after="200"/>
      </w:pPr>
      <w:r>
        <w:rPr>
          <w:rFonts w:ascii="Didact Gothic" w:cs="Didact Gothic" w:eastAsia="Didact Gothic" w:hAnsi="Didact Gothic"/>
          <w:i w:val="false"/>
          <w:iCs w:val="false"/>
          <w:color w:val="1A120B"/>
          <w:sz w:val="22"/>
          <w:szCs w:val="22"/>
        </w:rPr>
        <w:t xml:space="preserve">Costituzione Lumina AG a Zugo. Io sono disponibile da subito (vedi sotto).</w:t>
      </w:r>
    </w:p>
    <w:p>
      <w:pPr>
        <w:spacing w:after="0" w:before="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96E" w:sz="2"/>
              <w:left w:val="single" w:color="C9A96E" w:sz="2"/>
              <w:bottom w:val="single" w:color="C9A96E" w:sz="2"/>
              <w:right w:val="single" w:color="C9A96E" w:sz="2"/>
            </w:tcBorders>
            <w:shd w:fill="FAF7F2" w:val="clear"/>
            <w:tcMar>
              <w:top w:type="dxa" w:w="200"/>
              <w:left w:type="dxa" w:w="300"/>
              <w:bottom w:type="dxa" w:w="200"/>
              <w:right w:type="dxa" w:w="300"/>
            </w:tcMar>
          </w:tcPr>
          <w:p>
            <w:pPr>
              <w:spacing w:after="0"/>
            </w:pPr>
            <w:r>
              <w:rPr>
                <w:rFonts w:ascii="Didact Gothic" w:cs="Didact Gothic" w:eastAsia="Didact Gothic" w:hAnsi="Didact Gothic"/>
                <w:color w:val="1A120B"/>
                <w:sz w:val="22"/>
                <w:szCs w:val="22"/>
              </w:rPr>
              <w:t xml:space="preserve">Voglio costruire questa azienda. Questi aggiustamenti non servono a prendere di piu' dal deal. Servono a creare una struttura che regge quando le cose si complicano. Un CEO con incentivi chiari, protezioni giuste e ownership vera costruisce in modo diverso da uno che e' incerto sui propri termini.</w:t>
            </w:r>
          </w:p>
        </w:tc>
      </w:tr>
    </w:tbl>
    <w:p>
      <w:pPr>
        <w:spacing w:after="0" w:before="200"/>
      </w:pPr>
    </w:p>
    <w:p>
      <w:pPr>
        <w:spacing w:after="200"/>
      </w:pPr>
      <w:r>
        <w:rPr>
          <w:rFonts w:ascii="Didact Gothic" w:cs="Didact Gothic" w:eastAsia="Didact Gothic" w:hAnsi="Didact Gothic"/>
          <w:i w:val="false"/>
          <w:iCs w:val="false"/>
          <w:color w:val="1A120B"/>
          <w:sz w:val="22"/>
          <w:szCs w:val="22"/>
        </w:rPr>
        <w:t xml:space="preserve">Sono pronto quando volete.</w:t>
      </w:r>
    </w:p>
    <w:p>
      <w:pPr>
        <w:spacing w:after="0" w:before="400"/>
      </w:pPr>
    </w:p>
    <w:p>
      <w:r>
        <w:rPr>
          <w:rFonts w:ascii="Cormorant Garamond" w:cs="Cormorant Garamond" w:eastAsia="Cormorant Garamond" w:hAnsi="Cormorant Garamond"/>
          <w:b/>
          <w:bCs/>
          <w:color w:val="1A120B"/>
          <w:sz w:val="24"/>
          <w:szCs w:val="24"/>
        </w:rPr>
        <w:t xml:space="preserve">Marco Di Cesare</w:t>
      </w:r>
    </w:p>
    <w:p>
      <w:r>
        <w:rPr>
          <w:rFonts w:ascii="Didact Gothic" w:cs="Didact Gothic" w:eastAsia="Didact Gothic" w:hAnsi="Didact Gothic"/>
          <w:color w:val="7A6E63"/>
          <w:sz w:val="18"/>
          <w:szCs w:val="18"/>
        </w:rPr>
        <w:t xml:space="preserve">Marzo 2026</w:t>
      </w:r>
    </w:p>
    <w:p>
      <w:r>
        <w:br w:type="page"/>
      </w:r>
    </w:p>
    <w:p>
      <w:pPr>
        <w:pStyle w:val="Heading1"/>
      </w:pPr>
      <w:r>
        <w:t xml:space="preserve">Fonti</w:t>
      </w:r>
    </w:p>
    <w:p>
      <w:pPr>
        <w:spacing w:after="200"/>
      </w:pPr>
      <w:r>
        <w:rPr>
          <w:rFonts w:ascii="Didact Gothic" w:cs="Didact Gothic" w:eastAsia="Didact Gothic" w:hAnsi="Didact Gothic"/>
          <w:color w:val="7A6E63"/>
          <w:sz w:val="20"/>
          <w:szCs w:val="20"/>
        </w:rPr>
        <w:t xml:space="preserve">Tutti i claim in questo documento sono supportati da:</w:t>
      </w:r>
    </w:p>
    <w:p>
      <w:pPr>
        <w:spacing w:after="80"/>
      </w:pPr>
      <w:r>
        <w:rPr>
          <w:rFonts w:ascii="Didact Gothic" w:cs="Didact Gothic" w:eastAsia="Didact Gothic" w:hAnsi="Didact Gothic"/>
          <w:b/>
          <w:bCs/>
          <w:color w:val="1A120B"/>
          <w:sz w:val="18"/>
          <w:szCs w:val="18"/>
        </w:rPr>
        <w:t xml:space="preserve">1. LEXR AG (Zurigo) — </w:t>
      </w:r>
      <w:r>
        <w:rPr>
          <w:rFonts w:ascii="Didact Gothic" w:cs="Didact Gothic" w:eastAsia="Didact Gothic" w:hAnsi="Didact Gothic"/>
          <w:i/>
          <w:iCs/>
          <w:color w:val="7A6E63"/>
          <w:sz w:val="18"/>
          <w:szCs w:val="18"/>
        </w:rPr>
        <w:t xml:space="preserve">Phantom Share Plan Guide </w:t>
      </w:r>
      <w:hyperlink w:history="1" r:id="rIdwynzptb-0afdzhrbtoucj">
        <w:r>
          <w:rPr>
            <w:rStyle w:val="Hyperlink"/>
            <w:rFonts w:ascii="Didact Gothic" w:cs="Didact Gothic" w:eastAsia="Didact Gothic" w:hAnsi="Didact Gothic"/>
            <w:sz w:val="18"/>
            <w:szCs w:val="18"/>
          </w:rPr>
          <w:t xml:space="preserve">https://www.lexr.com/en-ch/blog/phantom-share-plan-setup-payouts-benefits/</w:t>
        </w:r>
      </w:hyperlink>
    </w:p>
    <w:p>
      <w:pPr>
        <w:spacing w:after="80"/>
      </w:pPr>
      <w:r>
        <w:rPr>
          <w:rFonts w:ascii="Didact Gothic" w:cs="Didact Gothic" w:eastAsia="Didact Gothic" w:hAnsi="Didact Gothic"/>
          <w:b/>
          <w:bCs/>
          <w:color w:val="1A120B"/>
          <w:sz w:val="18"/>
          <w:szCs w:val="18"/>
        </w:rPr>
        <w:t xml:space="preserve">2. MME Legal (Zurigo) — </w:t>
      </w:r>
      <w:r>
        <w:rPr>
          <w:rFonts w:ascii="Didact Gothic" w:cs="Didact Gothic" w:eastAsia="Didact Gothic" w:hAnsi="Didact Gothic"/>
          <w:i/>
          <w:iCs/>
          <w:color w:val="7A6E63"/>
          <w:sz w:val="18"/>
          <w:szCs w:val="18"/>
        </w:rPr>
        <w:t xml:space="preserve">Phantom Shares: Virtual Shareholdings </w:t>
      </w:r>
      <w:hyperlink w:history="1" r:id="rIdqvn7tkn125tnv6hs7f1dy">
        <w:r>
          <w:rPr>
            <w:rStyle w:val="Hyperlink"/>
            <w:rFonts w:ascii="Didact Gothic" w:cs="Didact Gothic" w:eastAsia="Didact Gothic" w:hAnsi="Didact Gothic"/>
            <w:sz w:val="18"/>
            <w:szCs w:val="18"/>
          </w:rPr>
          <w:t xml:space="preserve">https://www.mme.ch/en/magazine/articles/phantom-shares-virtual-shareholdings</w:t>
        </w:r>
      </w:hyperlink>
    </w:p>
    <w:p>
      <w:pPr>
        <w:spacing w:after="80"/>
      </w:pPr>
      <w:r>
        <w:rPr>
          <w:rFonts w:ascii="Didact Gothic" w:cs="Didact Gothic" w:eastAsia="Didact Gothic" w:hAnsi="Didact Gothic"/>
          <w:b/>
          <w:bCs/>
          <w:color w:val="1A120B"/>
          <w:sz w:val="18"/>
          <w:szCs w:val="18"/>
        </w:rPr>
        <w:t xml:space="preserve">3. Pestalozzi Attorneys (Zurigo) — </w:t>
      </w:r>
      <w:r>
        <w:rPr>
          <w:rFonts w:ascii="Didact Gothic" w:cs="Didact Gothic" w:eastAsia="Didact Gothic" w:hAnsi="Didact Gothic"/>
          <w:i/>
          <w:iCs/>
          <w:color w:val="7A6E63"/>
          <w:sz w:val="18"/>
          <w:szCs w:val="18"/>
        </w:rPr>
        <w:t xml:space="preserve">Taxation of Employee Equity Incentives </w:t>
      </w:r>
      <w:hyperlink w:history="1" r:id="rIdx5f-qt5vyaemcf-e_ugoh">
        <w:r>
          <w:rPr>
            <w:rStyle w:val="Hyperlink"/>
            <w:rFonts w:ascii="Didact Gothic" w:cs="Didact Gothic" w:eastAsia="Didact Gothic" w:hAnsi="Didact Gothic"/>
            <w:sz w:val="18"/>
            <w:szCs w:val="18"/>
          </w:rPr>
          <w:t xml:space="preserve">https://pestalozzilaw.com/en/insights/news/legal-insights/taxation-employee-equity-incentives-switzerland/</w:t>
        </w:r>
      </w:hyperlink>
    </w:p>
    <w:p>
      <w:pPr>
        <w:spacing w:after="80"/>
      </w:pPr>
      <w:r>
        <w:rPr>
          <w:rFonts w:ascii="Didact Gothic" w:cs="Didact Gothic" w:eastAsia="Didact Gothic" w:hAnsi="Didact Gothic"/>
          <w:b/>
          <w:bCs/>
          <w:color w:val="1A120B"/>
          <w:sz w:val="18"/>
          <w:szCs w:val="18"/>
        </w:rPr>
        <w:t xml:space="preserve">4. VISCHER AG (Basilea/Zurigo) — </w:t>
      </w:r>
      <w:r>
        <w:rPr>
          <w:rFonts w:ascii="Didact Gothic" w:cs="Didact Gothic" w:eastAsia="Didact Gothic" w:hAnsi="Didact Gothic"/>
          <w:i/>
          <w:iCs/>
          <w:color w:val="7A6E63"/>
          <w:sz w:val="18"/>
          <w:szCs w:val="18"/>
        </w:rPr>
        <w:t xml:space="preserve">Employee Participation </w:t>
      </w:r>
      <w:hyperlink w:history="1" r:id="rId_msae0ep9ifwoe3fj7etb">
        <w:r>
          <w:rPr>
            <w:rStyle w:val="Hyperlink"/>
            <w:rFonts w:ascii="Didact Gothic" w:cs="Didact Gothic" w:eastAsia="Didact Gothic" w:hAnsi="Didact Gothic"/>
            <w:sz w:val="18"/>
            <w:szCs w:val="18"/>
          </w:rPr>
          <w:t xml:space="preserve">https://www.vischer.com/en/knowledge/blog/employee-participation-part-1-40236/</w:t>
        </w:r>
      </w:hyperlink>
    </w:p>
    <w:p>
      <w:pPr>
        <w:spacing w:after="80"/>
      </w:pPr>
      <w:r>
        <w:rPr>
          <w:rFonts w:ascii="Didact Gothic" w:cs="Didact Gothic" w:eastAsia="Didact Gothic" w:hAnsi="Didact Gothic"/>
          <w:b/>
          <w:bCs/>
          <w:color w:val="1A120B"/>
          <w:sz w:val="18"/>
          <w:szCs w:val="18"/>
        </w:rPr>
        <w:t xml:space="preserve">5. Walder Wyss (Zurigo) — </w:t>
      </w:r>
      <w:r>
        <w:rPr>
          <w:rFonts w:ascii="Didact Gothic" w:cs="Didact Gothic" w:eastAsia="Didact Gothic" w:hAnsi="Didact Gothic"/>
          <w:i/>
          <w:iCs/>
          <w:color w:val="7A6E63"/>
          <w:sz w:val="18"/>
          <w:szCs w:val="18"/>
        </w:rPr>
        <w:t xml:space="preserve">Employee Share Plans in Switzerland (Thomson Reuters, 2020) </w:t>
      </w:r>
      <w:hyperlink w:history="1" r:id="rIdtpnm2bjsoswx8b2gxyyhw">
        <w:r>
          <w:rPr>
            <w:rStyle w:val="Hyperlink"/>
            <w:rFonts w:ascii="Didact Gothic" w:cs="Didact Gothic" w:eastAsia="Didact Gothic" w:hAnsi="Didact Gothic"/>
            <w:sz w:val="18"/>
            <w:szCs w:val="18"/>
          </w:rPr>
          <w:t xml:space="preserve">https://www.walderwyss.com/assets/content/publications/Employee-share-plans-in-Switzerland-regulatory-overview.pdf</w:t>
        </w:r>
      </w:hyperlink>
    </w:p>
    <w:p>
      <w:pPr>
        <w:spacing w:after="80"/>
      </w:pPr>
      <w:r>
        <w:rPr>
          <w:rFonts w:ascii="Didact Gothic" w:cs="Didact Gothic" w:eastAsia="Didact Gothic" w:hAnsi="Didact Gothic"/>
          <w:b/>
          <w:bCs/>
          <w:color w:val="1A120B"/>
          <w:sz w:val="18"/>
          <w:szCs w:val="18"/>
        </w:rPr>
        <w:t xml:space="preserve">6. Amministrazione Federale delle Contribuzioni — </w:t>
      </w:r>
      <w:r>
        <w:rPr>
          <w:rFonts w:ascii="Didact Gothic" w:cs="Didact Gothic" w:eastAsia="Didact Gothic" w:hAnsi="Didact Gothic"/>
          <w:i/>
          <w:iCs/>
          <w:color w:val="7A6E63"/>
          <w:sz w:val="18"/>
          <w:szCs w:val="18"/>
        </w:rPr>
        <w:t xml:space="preserve">Circolare n. 37 (aggiornata ottobre 2020)</w:t>
      </w:r>
    </w:p>
    <w:p>
      <w:pPr>
        <w:spacing w:after="80"/>
      </w:pPr>
      <w:r>
        <w:rPr>
          <w:rFonts w:ascii="Didact Gothic" w:cs="Didact Gothic" w:eastAsia="Didact Gothic" w:hAnsi="Didact Gothic"/>
          <w:b/>
          <w:bCs/>
          <w:color w:val="1A120B"/>
          <w:sz w:val="18"/>
          <w:szCs w:val="18"/>
        </w:rPr>
        <w:t xml:space="preserve">7. Konsento AG (Zurigo) — </w:t>
      </w:r>
      <w:r>
        <w:rPr>
          <w:rFonts w:ascii="Didact Gothic" w:cs="Didact Gothic" w:eastAsia="Didact Gothic" w:hAnsi="Didact Gothic"/>
          <w:i/>
          <w:iCs/>
          <w:color w:val="7A6E63"/>
          <w:sz w:val="18"/>
          <w:szCs w:val="18"/>
        </w:rPr>
        <w:t xml:space="preserve">Employee Participation in Switzerland </w:t>
      </w:r>
      <w:hyperlink w:history="1" r:id="rIdrnbgmzlhkdaudgft-nzqr">
        <w:r>
          <w:rPr>
            <w:rStyle w:val="Hyperlink"/>
            <w:rFonts w:ascii="Didact Gothic" w:cs="Didact Gothic" w:eastAsia="Didact Gothic" w:hAnsi="Didact Gothic"/>
            <w:sz w:val="18"/>
            <w:szCs w:val="18"/>
          </w:rPr>
          <w:t xml:space="preserve">https://www.konsento.ch/en/post/employee-participation-in-switzerland-advantages-of-phantom-shares-and-participation-certificates</w:t>
        </w:r>
      </w:hyperlink>
    </w:p>
    <w:p>
      <w:pPr>
        <w:spacing w:after="80"/>
      </w:pPr>
      <w:r>
        <w:rPr>
          <w:rFonts w:ascii="Didact Gothic" w:cs="Didact Gothic" w:eastAsia="Didact Gothic" w:hAnsi="Didact Gothic"/>
          <w:b/>
          <w:bCs/>
          <w:color w:val="1A120B"/>
          <w:sz w:val="18"/>
          <w:szCs w:val="18"/>
        </w:rPr>
        <w:t xml:space="preserve">8. Swiss Startup Association — </w:t>
      </w:r>
      <w:r>
        <w:rPr>
          <w:rFonts w:ascii="Didact Gothic" w:cs="Didact Gothic" w:eastAsia="Didact Gothic" w:hAnsi="Didact Gothic"/>
          <w:i/>
          <w:iCs/>
          <w:color w:val="7A6E63"/>
          <w:sz w:val="18"/>
          <w:szCs w:val="18"/>
        </w:rPr>
        <w:t xml:space="preserve">An Overview of ESOP </w:t>
      </w:r>
      <w:hyperlink w:history="1" r:id="rId1x798s2xqpy9imprknpjm">
        <w:r>
          <w:rPr>
            <w:rStyle w:val="Hyperlink"/>
            <w:rFonts w:ascii="Didact Gothic" w:cs="Didact Gothic" w:eastAsia="Didact Gothic" w:hAnsi="Didact Gothic"/>
            <w:sz w:val="18"/>
            <w:szCs w:val="18"/>
          </w:rPr>
          <w:t xml:space="preserve">https://swissstartupassociation.ch/2020/11/20/employee-stock-participation-esop/</w:t>
        </w:r>
      </w:hyperlink>
    </w:p>
    <w:p>
      <w:pPr>
        <w:spacing w:after="80"/>
      </w:pPr>
      <w:r>
        <w:rPr>
          <w:rFonts w:ascii="Didact Gothic" w:cs="Didact Gothic" w:eastAsia="Didact Gothic" w:hAnsi="Didact Gothic"/>
          <w:b/>
          <w:bCs/>
          <w:color w:val="1A120B"/>
          <w:sz w:val="18"/>
          <w:szCs w:val="18"/>
        </w:rPr>
        <w:t xml:space="preserve">9. Ledgy AG (Zurigo, Sequoia-backed) — </w:t>
      </w:r>
      <w:r>
        <w:rPr>
          <w:rFonts w:ascii="Didact Gothic" w:cs="Didact Gothic" w:eastAsia="Didact Gothic" w:hAnsi="Didact Gothic"/>
          <w:i/>
          <w:iCs/>
          <w:color w:val="7A6E63"/>
          <w:sz w:val="18"/>
          <w:szCs w:val="18"/>
        </w:rPr>
        <w:t xml:space="preserve">PSOP vs ESOP </w:t>
      </w:r>
      <w:hyperlink w:history="1" r:id="rIdkr2ocms1iubj-vc6_atma">
        <w:r>
          <w:rPr>
            <w:rStyle w:val="Hyperlink"/>
            <w:rFonts w:ascii="Didact Gothic" w:cs="Didact Gothic" w:eastAsia="Didact Gothic" w:hAnsi="Didact Gothic"/>
            <w:sz w:val="18"/>
            <w:szCs w:val="18"/>
          </w:rPr>
          <w:t xml:space="preserve">https://ledgy.com/blog/esop-vs-psop</w:t>
        </w:r>
      </w:hyperlink>
    </w:p>
    <w:p>
      <w:pPr>
        <w:spacing w:after="80"/>
      </w:pPr>
      <w:r>
        <w:rPr>
          <w:rFonts w:ascii="Didact Gothic" w:cs="Didact Gothic" w:eastAsia="Didact Gothic" w:hAnsi="Didact Gothic"/>
          <w:b/>
          <w:bCs/>
          <w:color w:val="1A120B"/>
          <w:sz w:val="18"/>
          <w:szCs w:val="18"/>
        </w:rPr>
        <w:t xml:space="preserve">10. J.P. Morgan — </w:t>
      </w:r>
      <w:r>
        <w:rPr>
          <w:rFonts w:ascii="Didact Gothic" w:cs="Didact Gothic" w:eastAsia="Didact Gothic" w:hAnsi="Didact Gothic"/>
          <w:i/>
          <w:iCs/>
          <w:color w:val="7A6E63"/>
          <w:sz w:val="18"/>
          <w:szCs w:val="18"/>
        </w:rPr>
        <w:t xml:space="preserve">Understanding Phantom Equity for Startups </w:t>
      </w:r>
      <w:hyperlink w:history="1" r:id="rId3cc9ewl0nny1dxma3sqkn">
        <w:r>
          <w:rPr>
            <w:rStyle w:val="Hyperlink"/>
            <w:rFonts w:ascii="Didact Gothic" w:cs="Didact Gothic" w:eastAsia="Didact Gothic" w:hAnsi="Didact Gothic"/>
            <w:sz w:val="18"/>
            <w:szCs w:val="18"/>
          </w:rPr>
          <w:t xml:space="preserve">https://www.jpmorgan.com/insights/business-planning/understanding-phantom-equity-and-stock-plans-for-startups</w:t>
        </w:r>
      </w:hyperlink>
    </w:p>
    <w:p>
      <w:pPr>
        <w:spacing w:after="80"/>
      </w:pPr>
      <w:r>
        <w:rPr>
          <w:rFonts w:ascii="Didact Gothic" w:cs="Didact Gothic" w:eastAsia="Didact Gothic" w:hAnsi="Didact Gothic"/>
          <w:b/>
          <w:bCs/>
          <w:color w:val="1A120B"/>
          <w:sz w:val="18"/>
          <w:szCs w:val="18"/>
        </w:rPr>
        <w:t xml:space="preserve">11. Saltox — </w:t>
      </w:r>
      <w:r>
        <w:rPr>
          <w:rFonts w:ascii="Didact Gothic" w:cs="Didact Gothic" w:eastAsia="Didact Gothic" w:hAnsi="Didact Gothic"/>
          <w:i/>
          <w:iCs/>
          <w:color w:val="7A6E63"/>
          <w:sz w:val="18"/>
          <w:szCs w:val="18"/>
        </w:rPr>
        <w:t xml:space="preserve">Phantom Equity: A Guide for Europe </w:t>
      </w:r>
      <w:hyperlink w:history="1" r:id="rId2tog_knw6gbszjsqrvq1y">
        <w:r>
          <w:rPr>
            <w:rStyle w:val="Hyperlink"/>
            <w:rFonts w:ascii="Didact Gothic" w:cs="Didact Gothic" w:eastAsia="Didact Gothic" w:hAnsi="Didact Gothic"/>
            <w:sz w:val="18"/>
            <w:szCs w:val="18"/>
          </w:rPr>
          <w:t xml:space="preserve">https://www.saltox.co/resources/articles/phantom-equity</w:t>
        </w:r>
      </w:hyperlink>
    </w:p>
    <w:p>
      <w:pPr>
        <w:spacing w:after="80"/>
      </w:pPr>
      <w:r>
        <w:rPr>
          <w:rFonts w:ascii="Didact Gothic" w:cs="Didact Gothic" w:eastAsia="Didact Gothic" w:hAnsi="Didact Gothic"/>
          <w:b/>
          <w:bCs/>
          <w:color w:val="1A120B"/>
          <w:sz w:val="18"/>
          <w:szCs w:val="18"/>
        </w:rPr>
        <w:t xml:space="preserve">12. Harvard Business School — </w:t>
      </w:r>
      <w:r>
        <w:rPr>
          <w:rFonts w:ascii="Didact Gothic" w:cs="Didact Gothic" w:eastAsia="Didact Gothic" w:hAnsi="Didact Gothic"/>
          <w:i/>
          <w:iCs/>
          <w:color w:val="7A6E63"/>
          <w:sz w:val="18"/>
          <w:szCs w:val="18"/>
        </w:rPr>
        <w:t xml:space="preserve">Note on ESOPs and Phantom Stock Plans (Crane &amp; Reinbergs) </w:t>
      </w:r>
      <w:hyperlink w:history="1" r:id="rIdowp8-gs7emaenles9djaq">
        <w:r>
          <w:rPr>
            <w:rStyle w:val="Hyperlink"/>
            <w:rFonts w:ascii="Didact Gothic" w:cs="Didact Gothic" w:eastAsia="Didact Gothic" w:hAnsi="Didact Gothic"/>
            <w:sz w:val="18"/>
            <w:szCs w:val="18"/>
          </w:rPr>
          <w:t xml:space="preserve">https://www.hbs.edu/faculty/Pages/item.aspx?num=27626</w:t>
        </w:r>
      </w:hyperlink>
    </w:p>
    <w:p>
      <w:pPr>
        <w:spacing w:after="80"/>
      </w:pPr>
      <w:r>
        <w:rPr>
          <w:rFonts w:ascii="Didact Gothic" w:cs="Didact Gothic" w:eastAsia="Didact Gothic" w:hAnsi="Didact Gothic"/>
          <w:b/>
          <w:bCs/>
          <w:color w:val="1A120B"/>
          <w:sz w:val="18"/>
          <w:szCs w:val="18"/>
        </w:rPr>
        <w:t xml:space="preserve">13. Gaia Law (Berlino) — </w:t>
      </w:r>
      <w:r>
        <w:rPr>
          <w:rFonts w:ascii="Didact Gothic" w:cs="Didact Gothic" w:eastAsia="Didact Gothic" w:hAnsi="Didact Gothic"/>
          <w:i/>
          <w:iCs/>
          <w:color w:val="7A6E63"/>
          <w:sz w:val="18"/>
          <w:szCs w:val="18"/>
        </w:rPr>
        <w:t xml:space="preserve">ESOPs vs VSOPs in Germany </w:t>
      </w:r>
      <w:hyperlink w:history="1" r:id="rIdvjasrwfp-xd0ya43cuk-b">
        <w:r>
          <w:rPr>
            <w:rStyle w:val="Hyperlink"/>
            <w:rFonts w:ascii="Didact Gothic" w:cs="Didact Gothic" w:eastAsia="Didact Gothic" w:hAnsi="Didact Gothic"/>
            <w:sz w:val="18"/>
            <w:szCs w:val="18"/>
          </w:rPr>
          <w:t xml:space="preserve">https://www.gaia.law/resources/esopvsvsop</w:t>
        </w:r>
      </w:hyperlink>
    </w:p>
    <w:p>
      <w:pPr>
        <w:spacing w:after="80"/>
      </w:pPr>
      <w:r>
        <w:rPr>
          <w:rFonts w:ascii="Didact Gothic" w:cs="Didact Gothic" w:eastAsia="Didact Gothic" w:hAnsi="Didact Gothic"/>
          <w:b/>
          <w:bCs/>
          <w:color w:val="1A120B"/>
          <w:sz w:val="18"/>
          <w:szCs w:val="18"/>
        </w:rPr>
        <w:t xml:space="preserve">14. LEXR AG (Zurigo) — </w:t>
      </w:r>
      <w:r>
        <w:rPr>
          <w:rFonts w:ascii="Didact Gothic" w:cs="Didact Gothic" w:eastAsia="Didact Gothic" w:hAnsi="Didact Gothic"/>
          <w:i/>
          <w:iCs/>
          <w:color w:val="7A6E63"/>
          <w:sz w:val="18"/>
          <w:szCs w:val="18"/>
        </w:rPr>
        <w:t xml:space="preserve">AG vs GmbH per startup ad alta crescita </w:t>
      </w:r>
      <w:hyperlink w:history="1" r:id="rIdajwsosqpuzgfhah2hedxq">
        <w:r>
          <w:rPr>
            <w:rStyle w:val="Hyperlink"/>
            <w:rFonts w:ascii="Didact Gothic" w:cs="Didact Gothic" w:eastAsia="Didact Gothic" w:hAnsi="Didact Gothic"/>
            <w:sz w:val="18"/>
            <w:szCs w:val="18"/>
          </w:rPr>
          <w:t xml:space="preserve">https://www.lexr.com/en-ch/blog/ag-vs-gmbh-why-the-ag-is-better-suited-for-swiss-high-growth-startups/</w:t>
        </w:r>
      </w:hyperlink>
    </w:p>
    <w:p>
      <w:pPr>
        <w:spacing w:after="80"/>
      </w:pPr>
      <w:r>
        <w:rPr>
          <w:rFonts w:ascii="Didact Gothic" w:cs="Didact Gothic" w:eastAsia="Didact Gothic" w:hAnsi="Didact Gothic"/>
          <w:b/>
          <w:bCs/>
          <w:color w:val="1A120B"/>
          <w:sz w:val="18"/>
          <w:szCs w:val="18"/>
        </w:rPr>
        <w:t xml:space="preserve">15. Embark.law (Zurigo) — </w:t>
      </w:r>
      <w:r>
        <w:rPr>
          <w:rFonts w:ascii="Didact Gothic" w:cs="Didact Gothic" w:eastAsia="Didact Gothic" w:hAnsi="Didact Gothic"/>
          <w:i/>
          <w:iCs/>
          <w:color w:val="7A6E63"/>
          <w:sz w:val="18"/>
          <w:szCs w:val="18"/>
        </w:rPr>
        <w:t xml:space="preserve">GmbH or AG? Startup Law </w:t>
      </w:r>
      <w:hyperlink w:history="1" r:id="rIdwnyfrx5nhqeqjkopcucni">
        <w:r>
          <w:rPr>
            <w:rStyle w:val="Hyperlink"/>
            <w:rFonts w:ascii="Didact Gothic" w:cs="Didact Gothic" w:eastAsia="Didact Gothic" w:hAnsi="Didact Gothic"/>
            <w:sz w:val="18"/>
            <w:szCs w:val="18"/>
          </w:rPr>
          <w:t xml:space="preserve">https://embark.law/ag/</w:t>
        </w:r>
      </w:hyperlink>
    </w:p>
    <w:p>
      <w:pPr>
        <w:spacing w:after="80"/>
      </w:pPr>
      <w:r>
        <w:rPr>
          <w:rFonts w:ascii="Didact Gothic" w:cs="Didact Gothic" w:eastAsia="Didact Gothic" w:hAnsi="Didact Gothic"/>
          <w:b/>
          <w:bCs/>
          <w:color w:val="1A120B"/>
          <w:sz w:val="18"/>
          <w:szCs w:val="18"/>
        </w:rPr>
        <w:t xml:space="preserve">16. SwissFirma — </w:t>
      </w:r>
      <w:r>
        <w:rPr>
          <w:rFonts w:ascii="Didact Gothic" w:cs="Didact Gothic" w:eastAsia="Didact Gothic" w:hAnsi="Didact Gothic"/>
          <w:i/>
          <w:iCs/>
          <w:color w:val="7A6E63"/>
          <w:sz w:val="18"/>
          <w:szCs w:val="18"/>
        </w:rPr>
        <w:t xml:space="preserve">AG vs GmbH per investitori e startup 2026 </w:t>
      </w:r>
      <w:hyperlink w:history="1" r:id="rId5id32pllbmg9vzklxogty">
        <w:r>
          <w:rPr>
            <w:rStyle w:val="Hyperlink"/>
            <w:rFonts w:ascii="Didact Gothic" w:cs="Didact Gothic" w:eastAsia="Didact Gothic" w:hAnsi="Didact Gothic"/>
            <w:sz w:val="18"/>
            <w:szCs w:val="18"/>
          </w:rPr>
          <w:t xml:space="preserve">https://swissfirma.com/ag-vs-gmbh/</w:t>
        </w:r>
      </w:hyperlink>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idact Gothic" w:cs="Didact Gothic" w:eastAsia="Didact Gothic" w:hAnsi="Didact Gothic"/>
        <w:color w:val="7A6E63"/>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idact Gothic" w:cs="Didact Gothic" w:eastAsia="Didact Gothic" w:hAnsi="Didact Gothic"/>
        <w:i/>
        <w:iCs/>
        <w:color w:val="7A6E63"/>
        <w:sz w:val="14"/>
        <w:szCs w:val="14"/>
      </w:rPr>
      <w:t xml:space="preserve">L U M I N A  |  Controproposta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idact Gothic" w:cs="Didact Gothic" w:eastAsia="Didact Gothic" w:hAnsi="Didact Gothic"/>
        <w:color w:val="1A120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ormorant Garabold" w:cs="Cormorant Garabold" w:eastAsia="Cormorant Garabold" w:hAnsi="Cormorant Garabold"/>
      <w:b/>
      <w:bCs/>
      <w:color w:val="8B4A2B"/>
      <w:sz w:val="36"/>
      <w:szCs w:val="36"/>
    </w:rPr>
  </w:style>
  <w:style w:type="paragraph" w:styleId="Heading2">
    <w:name w:val="Heading 2"/>
    <w:basedOn w:val="Normal"/>
    <w:next w:val="Normal"/>
    <w:qFormat/>
    <w:pPr>
      <w:spacing w:after="160" w:before="300"/>
      <w:outlineLvl w:val="1"/>
    </w:pPr>
    <w:rPr>
      <w:rFonts w:ascii="Cormorant Garamond" w:cs="Cormorant Garamond" w:eastAsia="Cormorant Garamond" w:hAnsi="Cormorant Garamond"/>
      <w:b/>
      <w:bCs/>
      <w:color w:val="1A120B"/>
      <w:sz w:val="28"/>
      <w:szCs w:val="28"/>
    </w:rPr>
  </w:style>
  <w:style w:type="paragraph" w:styleId="Heading3">
    <w:name w:val="Heading 3"/>
    <w:basedOn w:val="Normal"/>
    <w:next w:val="Normal"/>
    <w:qFormat/>
    <w:pPr>
      <w:spacing w:after="120" w:before="200"/>
      <w:outlineLvl w:val="2"/>
    </w:pPr>
    <w:rPr>
      <w:rFonts w:ascii="Didact Gothic" w:cs="Didact Gothic" w:eastAsia="Didact Gothic" w:hAnsi="Didact Gothic"/>
      <w:b/>
      <w:bCs/>
      <w:color w:val="8B4A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vbwyzb9vrh_r4wg_yu1re" Type="http://schemas.openxmlformats.org/officeDocument/2006/relationships/hyperlink" Target="https://www.mme.ch/en/magazine/articles/phantom-shares-virtual-shareholdings" TargetMode="External"/><Relationship Id="rIdcvgesa8gifssrgajyhmzq" Type="http://schemas.openxmlformats.org/officeDocument/2006/relationships/hyperlink" Target="https://www.lexr.com/en-ch/blog/phantom-share-plan-setup-payouts-benefits/" TargetMode="External"/><Relationship Id="rIdw78vknyx0bhauaf3548aw" Type="http://schemas.openxmlformats.org/officeDocument/2006/relationships/hyperlink" Target="https://swissstartupassociation.ch/2020/11/20/employee-stock-participation-esop/" TargetMode="External"/><Relationship Id="rIdu3n04vgeb5onlyuruwz48" Type="http://schemas.openxmlformats.org/officeDocument/2006/relationships/hyperlink" Target="https://pestalozzilaw.com/en/insights/news/legal-insights/taxation-employee-equity-incentives-switzerland/" TargetMode="External"/><Relationship Id="rIdgq-p5kvq0mla_pynwwayo" Type="http://schemas.openxmlformats.org/officeDocument/2006/relationships/hyperlink" Target="https://www.vischer.com/en/knowledge/blog/employee-participation-part-1-40236/" TargetMode="External"/><Relationship Id="rIdtyvqldp-vsvlghyviistp" Type="http://schemas.openxmlformats.org/officeDocument/2006/relationships/hyperlink" Target="https://www.saltox.co/resources/articles/phantom-equity" TargetMode="External"/><Relationship Id="rIdecsta0lbcxaiapplwulcu" Type="http://schemas.openxmlformats.org/officeDocument/2006/relationships/hyperlink" Target="https://www.lexr.com/en-ch/blog/ag-vs-gmbh-why-the-ag-is-better-suited-for-swiss-high-growth-startups/" TargetMode="External"/><Relationship Id="rId5hvsnb9w0q2qktyhiztij" Type="http://schemas.openxmlformats.org/officeDocument/2006/relationships/hyperlink" Target="https://embark.law/ag/" TargetMode="External"/><Relationship Id="rIdr7udzpvnmagiozrqcv8wj" Type="http://schemas.openxmlformats.org/officeDocument/2006/relationships/hyperlink" Target="https://swissfirma.com/ag-vs-gmbh/" TargetMode="External"/><Relationship Id="rIdwynzptb-0afdzhrbtoucj" Type="http://schemas.openxmlformats.org/officeDocument/2006/relationships/hyperlink" Target="https://www.lexr.com/en-ch/blog/phantom-share-plan-setup-payouts-benefits/" TargetMode="External"/><Relationship Id="rIdqvn7tkn125tnv6hs7f1dy" Type="http://schemas.openxmlformats.org/officeDocument/2006/relationships/hyperlink" Target="https://www.mme.ch/en/magazine/articles/phantom-shares-virtual-shareholdings" TargetMode="External"/><Relationship Id="rIdx5f-qt5vyaemcf-e_ugoh" Type="http://schemas.openxmlformats.org/officeDocument/2006/relationships/hyperlink" Target="https://pestalozzilaw.com/en/insights/news/legal-insights/taxation-employee-equity-incentives-switzerland/" TargetMode="External"/><Relationship Id="rId_msae0ep9ifwoe3fj7etb" Type="http://schemas.openxmlformats.org/officeDocument/2006/relationships/hyperlink" Target="https://www.vischer.com/en/knowledge/blog/employee-participation-part-1-40236/" TargetMode="External"/><Relationship Id="rIdtpnm2bjsoswx8b2gxyyhw" Type="http://schemas.openxmlformats.org/officeDocument/2006/relationships/hyperlink" Target="https://www.walderwyss.com/assets/content/publications/Employee-share-plans-in-Switzerland-regulatory-overview.pdf" TargetMode="External"/><Relationship Id="rIdrnbgmzlhkdaudgft-nzqr" Type="http://schemas.openxmlformats.org/officeDocument/2006/relationships/hyperlink" Target="https://www.konsento.ch/en/post/employee-participation-in-switzerland-advantages-of-phantom-shares-and-participation-certificates" TargetMode="External"/><Relationship Id="rId1x798s2xqpy9imprknpjm" Type="http://schemas.openxmlformats.org/officeDocument/2006/relationships/hyperlink" Target="https://swissstartupassociation.ch/2020/11/20/employee-stock-participation-esop/" TargetMode="External"/><Relationship Id="rIdkr2ocms1iubj-vc6_atma" Type="http://schemas.openxmlformats.org/officeDocument/2006/relationships/hyperlink" Target="https://ledgy.com/blog/esop-vs-psop" TargetMode="External"/><Relationship Id="rId3cc9ewl0nny1dxma3sqkn" Type="http://schemas.openxmlformats.org/officeDocument/2006/relationships/hyperlink" Target="https://www.jpmorgan.com/insights/business-planning/understanding-phantom-equity-and-stock-plans-for-startups" TargetMode="External"/><Relationship Id="rId2tog_knw6gbszjsqrvq1y" Type="http://schemas.openxmlformats.org/officeDocument/2006/relationships/hyperlink" Target="https://www.saltox.co/resources/articles/phantom-equity" TargetMode="External"/><Relationship Id="rIdowp8-gs7emaenles9djaq" Type="http://schemas.openxmlformats.org/officeDocument/2006/relationships/hyperlink" Target="https://www.hbs.edu/faculty/Pages/item.aspx?num=27626" TargetMode="External"/><Relationship Id="rIdvjasrwfp-xd0ya43cuk-b" Type="http://schemas.openxmlformats.org/officeDocument/2006/relationships/hyperlink" Target="https://www.gaia.law/resources/esopvsvsop" TargetMode="External"/><Relationship Id="rIdajwsosqpuzgfhah2hedxq" Type="http://schemas.openxmlformats.org/officeDocument/2006/relationships/hyperlink" Target="https://www.lexr.com/en-ch/blog/ag-vs-gmbh-why-the-ag-is-better-suited-for-swiss-high-growth-startups/" TargetMode="External"/><Relationship Id="rIdwnyfrx5nhqeqjkopcucni" Type="http://schemas.openxmlformats.org/officeDocument/2006/relationships/hyperlink" Target="https://embark.law/ag/" TargetMode="External"/><Relationship Id="rId5id32pllbmg9vzklxogty" Type="http://schemas.openxmlformats.org/officeDocument/2006/relationships/hyperlink" Target="https://swissfirma.com/ag-vs-gmbh/" TargetMode="External"/><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2026-03-29T20:56:27.726Z</dcterms:created>
  <dcterms:modified xsi:type="dcterms:W3CDTF">2026-03-29T20:56:27.726Z</dcterms:modified>
</cp:coreProperties>
</file>

<file path=docProps/custom.xml><?xml version="1.0" encoding="utf-8"?>
<Properties xmlns="http://schemas.openxmlformats.org/officeDocument/2006/custom-properties" xmlns:vt="http://schemas.openxmlformats.org/officeDocument/2006/docPropsVTypes"/>
</file>