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r>
        <w:rPr>
          <w:rFonts w:ascii="Cormorant Garamond" w:cs="Cormorant Garamond" w:eastAsia="Cormorant Garamond" w:hAnsi="Cormorant Garamond"/>
          <w:b/>
          <w:bCs/>
          <w:color w:val="8B4A2B"/>
          <w:sz w:val="60"/>
          <w:szCs w:val="60"/>
        </w:rPr>
        <w:t xml:space="preserve">L U M I N A</w:t>
      </w:r>
    </w:p>
    <w:p>
      <w:pPr>
        <w:spacing w:after="0" w:before="100"/>
      </w:pPr>
    </w:p>
    <w:p>
      <w:pPr>
        <w:pBdr>
          <w:bottom w:val="single" w:color="C9A96E" w:sz="4" w:space="8"/>
        </w:pBdr>
        <w:spacing w:after="300"/>
      </w:pPr>
      <w:r>
        <w:rPr>
          <w:rFonts w:ascii="Cormorant Garamond" w:cs="Cormorant Garamond" w:eastAsia="Cormorant Garamond" w:hAnsi="Cormorant Garamond"/>
          <w:color w:val="1A120B"/>
          <w:sz w:val="40"/>
          <w:szCs w:val="40"/>
        </w:rPr>
        <w:t xml:space="preserve">Controproposta e Framework PSOP</w:t>
      </w:r>
    </w:p>
    <w:p>
      <w:r>
        <w:rPr>
          <w:rFonts w:ascii="Didact Gothic" w:cs="Didact Gothic" w:eastAsia="Didact Gothic" w:hAnsi="Didact Gothic"/>
          <w:color w:val="7A6E63"/>
          <w:sz w:val="22"/>
          <w:szCs w:val="22"/>
        </w:rPr>
        <w:t xml:space="preserve">Risposta alla Proposta Operativa del 29 Marzo 2026</w:t>
      </w:r>
    </w:p>
    <w:p>
      <w:pPr>
        <w:spacing w:after="0" w:before="1600"/>
      </w:pPr>
    </w:p>
    <w:p>
      <w:r>
        <w:rPr>
          <w:rFonts w:ascii="Cormorant Garamond" w:cs="Cormorant Garamond" w:eastAsia="Cormorant Garamond" w:hAnsi="Cormorant Garamond"/>
          <w:b/>
          <w:bCs/>
          <w:color w:val="1A120B"/>
          <w:sz w:val="24"/>
          <w:szCs w:val="24"/>
        </w:rPr>
        <w:t xml:space="preserve">Marco Di Cesare</w:t>
      </w:r>
    </w:p>
    <w:p>
      <w:r>
        <w:rPr>
          <w:rFonts w:ascii="Didact Gothic" w:cs="Didact Gothic" w:eastAsia="Didact Gothic" w:hAnsi="Didact Gothic"/>
          <w:color w:val="7A6E63"/>
          <w:sz w:val="18"/>
          <w:szCs w:val="18"/>
        </w:rPr>
        <w:t xml:space="preserve">Marzo 2026  |  Confidenziale</w:t>
      </w:r>
    </w:p>
    <w:p>
      <w:pPr>
        <w:sectPr>
          <w:pgSz w:w="11906" w:h="16838" w:orient="portrait"/>
          <w:pgMar w:top="2880" w:right="1440" w:bottom="1440" w:left="1440" w:header="708" w:footer="708" w:gutter="0"/>
          <w:pgNumType/>
          <w:docGrid w:linePitch="360"/>
        </w:sectPr>
      </w:pPr>
    </w:p>
    <w:p>
      <w:pPr>
        <w:pStyle w:val="Heading1"/>
      </w:pPr>
      <w:r>
        <w:t xml:space="preserve">Parte A: La mia proposta in sintesi</w:t>
      </w:r>
    </w:p>
    <w:p>
      <w:pPr>
        <w:spacing w:after="200"/>
      </w:pPr>
      <w:r>
        <w:rPr>
          <w:rFonts w:ascii="Didact Gothic" w:cs="Didact Gothic" w:eastAsia="Didact Gothic" w:hAnsi="Didact Gothic"/>
          <w:i w:val="false"/>
          <w:iCs w:val="false"/>
          <w:color w:val="1A120B"/>
          <w:sz w:val="22"/>
          <w:szCs w:val="22"/>
        </w:rPr>
        <w:t xml:space="preserve">Ame, Marco, grazie per la call e per il deck. La proposta e' seria, il piano e' solido, il brand e' bellissimo. Voglio fare Lumina insieme a voi.</w:t>
      </w:r>
    </w:p>
    <w:p>
      <w:pPr>
        <w:spacing w:after="200"/>
      </w:pPr>
      <w:r>
        <w:rPr>
          <w:rFonts w:ascii="Didact Gothic" w:cs="Didact Gothic" w:eastAsia="Didact Gothic" w:hAnsi="Didact Gothic"/>
          <w:i w:val="false"/>
          <w:iCs w:val="false"/>
          <w:color w:val="1A120B"/>
          <w:sz w:val="22"/>
          <w:szCs w:val="22"/>
        </w:rPr>
        <w:t xml:space="preserve">Vi mando questo documento con degli aggiustamenti ai termini commerciali. Ma prima fatemi dire la cosa piu' importante: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96E" w:sz="4"/>
              <w:left w:val="single" w:color="C9A96E" w:sz="4"/>
              <w:bottom w:val="single" w:color="C9A96E" w:sz="4"/>
              <w:right w:val="single" w:color="C9A96E" w:sz="4"/>
            </w:tcBorders>
            <w:shd w:fill="FAF7F2" w:val="clear"/>
            <w:tcMar>
              <w:top w:type="dxa" w:w="200"/>
              <w:left w:type="dxa" w:w="300"/>
              <w:bottom w:type="dxa" w:w="200"/>
              <w:right w:type="dxa" w:w="300"/>
            </w:tcMar>
          </w:tcPr>
          <w:p>
            <w:pPr>
              <w:spacing w:after="120"/>
            </w:pPr>
            <w:r>
              <w:rPr>
                <w:rFonts w:ascii="Cormorant Garamond" w:cs="Cormorant Garamond" w:eastAsia="Cormorant Garamond" w:hAnsi="Cormorant Garamond"/>
                <w:b/>
                <w:bCs/>
                <w:color w:val="8B4A2B"/>
                <w:sz w:val="28"/>
                <w:szCs w:val="28"/>
              </w:rPr>
              <w:t xml:space="preserve">La cosa bella di questa proposta:</w:t>
            </w:r>
          </w:p>
          <w:p>
            <w:pPr>
              <w:spacing w:after="120"/>
            </w:pPr>
            <w:r>
              <w:rPr>
                <w:rFonts w:ascii="Didact Gothic" w:cs="Didact Gothic" w:eastAsia="Didact Gothic" w:hAnsi="Didact Gothic"/>
                <w:color w:val="1A120B"/>
                <w:sz w:val="22"/>
                <w:szCs w:val="22"/>
              </w:rPr>
              <w:t xml:space="preserve">Con la vostra proposta, voi avete il 75% (100% - 15% mio - 10% dipendenti).</w:t>
            </w:r>
          </w:p>
          <w:p>
            <w:pPr>
              <w:spacing w:after="120"/>
            </w:pPr>
            <w:r>
              <w:rPr>
                <w:rFonts w:ascii="Didact Gothic" w:cs="Didact Gothic" w:eastAsia="Didact Gothic" w:hAnsi="Didact Gothic"/>
                <w:b/>
                <w:bCs/>
                <w:color w:val="8B4A2B"/>
                <w:sz w:val="22"/>
                <w:szCs w:val="22"/>
              </w:rPr>
              <w:t xml:space="preserve">Con la mia proposta, voi avete l'80%. Io ho il 20%. Tutti guadagnano di piu'.</w:t>
            </w:r>
          </w:p>
          <w:p>
            <w:pPr>
              <w:spacing w:after="0"/>
            </w:pPr>
            <w:r>
              <w:rPr>
                <w:rFonts w:ascii="Didact Gothic" w:cs="Didact Gothic" w:eastAsia="Didact Gothic" w:hAnsi="Didact Gothic"/>
                <w:color w:val="1A120B"/>
                <w:sz w:val="22"/>
                <w:szCs w:val="22"/>
              </w:rPr>
              <w:t xml:space="preserve">Come? Il pool dipendenti esce dal cap table con un Phantom Share Plan. Il cap table resta pulitissimo: 80/20, tre nomi, zero complicazioni. I dipendenti hanno lo stesso upside economico, ma senza diluire nessuno.</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Non e' una lista di richieste, e' una proposta per rendere la struttura piu' pulita e piu' facile da gestire per tutti e tre. Parto dal riassunto, poi trovate i dettagli in inglese nelle sezioni dopo.</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Tema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Vostra Proposta</w:t>
            </w:r>
          </w:p>
        </w:tc>
        <w:tc>
          <w:tcPr>
            <w:tcW w:type="dxa" w:w="31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Mia Controproposta</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Equity base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Fino al 15%</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 azioni reali</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Bonus exit</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Da definire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+10% se exit &gt; EUR 30M (tot. 30%)</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Performance score soggettivo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KPI oggettivi (hotel, ARR)</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Stipendio Y1</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 (uguale)</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Crescita stipendio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Step-up automatici a EBITDA/ARR</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 dipendenti</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(struttura TBD)</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5% Phantom Share Plan</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75% / 15% / 10%</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 / 20% (pulitissimo)</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Board</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3 persone, decisioni a 2/3</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Anti-diluizione</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Concordato in principio</w:t>
            </w:r>
          </w:p>
        </w:tc>
        <w:tc>
          <w:tcPr>
            <w:tcW w:type="dxa" w:w="31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Pro-rata + floor 15% post-Series A</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Protezioni reciproche</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 specificato</w:t>
            </w:r>
          </w:p>
        </w:tc>
        <w:tc>
          <w:tcPr>
            <w:tcW w:type="dxa" w:w="31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Drag-along, tag-along, deadlock</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Il punto chiave: con il Phantom Share Plan il cap table resta 80/20 con solo tre nomi. Nessun dipendente diventa socio. Nessuna diluizione sul cap table quando assumiamo. Gli investitori vedono una struttura pulita. E il costo del pool esce dal prezzo di vendita all'exit, diviso proporzionalmente tra tutti. Tutti ci guadagnano.</w:t>
      </w:r>
    </w:p>
    <w:p>
      <w:pPr>
        <w:spacing w:after="200"/>
      </w:pPr>
      <w:r>
        <w:rPr>
          <w:rFonts w:ascii="Didact Gothic" w:cs="Didact Gothic" w:eastAsia="Didact Gothic" w:hAnsi="Didact Gothic"/>
          <w:i w:val="false"/>
          <w:iCs w:val="false"/>
          <w:color w:val="1A120B"/>
          <w:sz w:val="22"/>
          <w:szCs w:val="22"/>
        </w:rPr>
        <w:t xml:space="preserve">Nei dettagli sotto spiego tutto punto per punto, con le fonti. Prendetevi il tempo che vi serve, e poi ci sentiamo.</w:t>
      </w:r>
    </w:p>
    <w:p>
      <w:r>
        <w:br w:type="page"/>
      </w:r>
    </w:p>
    <w:p>
      <w:pPr>
        <w:pStyle w:val="Heading1"/>
      </w:pPr>
      <w:r>
        <w:t xml:space="preserve">Part B: Detailed Terms</w:t>
      </w:r>
    </w:p>
    <w:p>
      <w:pPr>
        <w:pStyle w:val="Heading2"/>
      </w:pPr>
      <w:r>
        <w:t xml:space="preserve">1. Equity: 20% base, path to 30%</w:t>
      </w:r>
    </w:p>
    <w:p>
      <w:pPr>
        <w:spacing w:after="200"/>
      </w:pPr>
      <w:r>
        <w:rPr>
          <w:rFonts w:ascii="Didact Gothic" w:cs="Didact Gothic" w:eastAsia="Didact Gothic" w:hAnsi="Didact Gothic"/>
          <w:i w:val="false"/>
          <w:iCs w:val="false"/>
          <w:color w:val="1A120B"/>
          <w:sz w:val="22"/>
          <w:szCs w:val="22"/>
        </w:rPr>
        <w:t xml:space="preserve">The proposal offers up to 15% (Pool 25% x weight 60%). I'd like to adjust the weight to 80%, which gives 20%.</w:t>
      </w:r>
    </w:p>
    <w:p>
      <w:pPr>
        <w:spacing w:after="200"/>
      </w:pPr>
      <w:r>
        <w:rPr>
          <w:rFonts w:ascii="Didact Gothic" w:cs="Didact Gothic" w:eastAsia="Didact Gothic" w:hAnsi="Didact Gothic"/>
          <w:i w:val="false"/>
          <w:iCs w:val="false"/>
          <w:color w:val="1A120B"/>
          <w:sz w:val="22"/>
          <w:szCs w:val="22"/>
        </w:rPr>
        <w:t xml:space="preserve">I'm the only one full-time. Amedeo and Marco Corsaro bring capital, network, and strategic guidance. That's genuinely valuable. But product, clients, team, day-to-day operations: that's one person. A weight of 80% reflects that reality.</w:t>
      </w:r>
    </w:p>
    <w:p>
      <w:pPr>
        <w:spacing w:after="200"/>
      </w:pPr>
      <w:r>
        <w:rPr>
          <w:rFonts w:ascii="Didact Gothic" w:cs="Didact Gothic" w:eastAsia="Didact Gothic" w:hAnsi="Didact Gothic"/>
          <w:i w:val="false"/>
          <w:iCs w:val="false"/>
          <w:color w:val="1A120B"/>
          <w:sz w:val="22"/>
          <w:szCs w:val="22"/>
        </w:rPr>
        <w:t xml:space="preserve">The cost to you is 5 percentage points from a combined 75%. What it buys is a CEO who feels like a founding partner, not an employee with upside. That feeling is what keeps someone going at month 18 when revenue is flat and the next hotel says no.</w:t>
      </w:r>
    </w:p>
    <w:p>
      <w:pPr>
        <w:pStyle w:val="Heading3"/>
      </w:pPr>
      <w:r>
        <w:t xml:space="preserve">Exit kicker: +10% if exit exceeds EUR 30M</w:t>
      </w:r>
    </w:p>
    <w:p>
      <w:pPr>
        <w:spacing w:after="200"/>
      </w:pPr>
      <w:r>
        <w:rPr>
          <w:rFonts w:ascii="Didact Gothic" w:cs="Didact Gothic" w:eastAsia="Didact Gothic" w:hAnsi="Didact Gothic"/>
          <w:i w:val="false"/>
          <w:iCs w:val="false"/>
          <w:color w:val="1A120B"/>
          <w:sz w:val="22"/>
          <w:szCs w:val="22"/>
        </w:rPr>
        <w:t xml:space="preserve">We agreed in the call that there should be a mechanism for participation beyond the base if things go exceptionally. Here's a specific version: if the exit valuation passes EUR 30M, my equity steps up from 20% to 30%. Automatic. No vote. Triggered by a number everyone can see.</w:t>
      </w:r>
    </w:p>
    <w:p>
      <w:pPr>
        <w:spacing w:after="200"/>
      </w:pPr>
      <w:r>
        <w:rPr>
          <w:rFonts w:ascii="Didact Gothic" w:cs="Didact Gothic" w:eastAsia="Didact Gothic" w:hAnsi="Didact Gothic"/>
          <w:i w:val="false"/>
          <w:iCs w:val="false"/>
          <w:color w:val="1A120B"/>
          <w:sz w:val="22"/>
          <w:szCs w:val="22"/>
        </w:rPr>
        <w:t xml:space="preserve">At EUR 30M, Amedeo and Marco Corsaro's 80% (before kicker) is worth EUR 24M. After the kicker shifts to 70%, they receive EUR 21M. The EUR 3M difference is the price of having a maximally motivated operator through the hardest years. And it only gets taken off the table when the table is very, very large.</w:t>
      </w:r>
    </w:p>
    <w:p>
      <w:pPr>
        <w:spacing w:after="200"/>
      </w:pPr>
      <w:r>
        <w:rPr>
          <w:rFonts w:ascii="Didact Gothic" w:cs="Didact Gothic" w:eastAsia="Didact Gothic" w:hAnsi="Didact Gothic"/>
          <w:i w:val="false"/>
          <w:iCs w:val="false"/>
          <w:color w:val="1A120B"/>
          <w:sz w:val="22"/>
          <w:szCs w:val="22"/>
        </w:rPr>
        <w:t xml:space="preserve">If exit is below EUR 30M, the kicker doesn't apply. You keep your full 80%. Simple.</w:t>
      </w:r>
    </w:p>
    <w:p>
      <w:pPr>
        <w:pStyle w:val="Heading2"/>
      </w:pPr>
      <w:r>
        <w:t xml:space="preserve">2. Vesting: clear milestones, no ambiguity</w:t>
      </w:r>
    </w:p>
    <w:p>
      <w:pPr>
        <w:spacing w:after="200"/>
      </w:pPr>
      <w:r>
        <w:rPr>
          <w:rFonts w:ascii="Didact Gothic" w:cs="Didact Gothic" w:eastAsia="Didact Gothic" w:hAnsi="Didact Gothic"/>
          <w:i w:val="false"/>
          <w:iCs w:val="false"/>
          <w:color w:val="1A120B"/>
          <w:sz w:val="22"/>
          <w:szCs w:val="22"/>
        </w:rPr>
        <w:t xml:space="preserve">The proposal links vesting to a performance score evaluated by the founders. I'd prefer objective milestones that we can all count. No conversations about whether a score is 25% or 75%. Just numbers.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863"/>
        <w:gridCol w:w="2863"/>
      </w:tblGrid>
      <w:tr>
        <w:tc>
          <w:tcPr>
            <w:tcW w:type="dxa" w:w="1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When</w:t>
            </w:r>
          </w:p>
        </w:tc>
        <w:tc>
          <w:tcPr>
            <w:tcW w:type="dxa" w:w="1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Tranche</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Condition</w:t>
            </w:r>
          </w:p>
        </w:tc>
        <w:tc>
          <w:tcPr>
            <w:tcW w:type="dxa" w:w="28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vs. Business Plan</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Month 12 (cliff)</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paying hotels</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32 paying at M12</w:t>
            </w:r>
          </w:p>
        </w:tc>
      </w:tr>
      <w:tr>
        <w:tc>
          <w:tcPr>
            <w:tcW w:type="dxa" w:w="1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Month 24</w:t>
            </w:r>
          </w:p>
        </w:tc>
        <w:tc>
          <w:tcPr>
            <w:tcW w:type="dxa" w:w="1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7%</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500K</w:t>
            </w:r>
          </w:p>
        </w:tc>
        <w:tc>
          <w:tcPr>
            <w:tcW w:type="dxa" w:w="28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1.3M ARR at M24</w:t>
            </w:r>
          </w:p>
        </w:tc>
      </w:tr>
      <w:tr>
        <w:tc>
          <w:tcPr>
            <w:tcW w:type="dxa" w:w="1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Month 36</w:t>
            </w:r>
          </w:p>
        </w:tc>
        <w:tc>
          <w:tcPr>
            <w:tcW w:type="dxa" w:w="1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6%</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ARR &gt;= EUR 1.5M</w:t>
            </w:r>
          </w:p>
        </w:tc>
        <w:tc>
          <w:tcPr>
            <w:tcW w:type="dxa" w:w="28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BP: EUR 2.7M ARR at M36</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I set these below Amedeo's own projections on purpose. If the business performs anywhere near plan, I vest fully. If it doesn't, I don't. That's fair for everyone.</w:t>
      </w:r>
    </w:p>
    <w:p>
      <w:pPr>
        <w:pStyle w:val="Heading3"/>
      </w:pPr>
      <w:r>
        <w:t xml:space="preserve">Good leaver / bad leaver</w:t>
      </w:r>
    </w:p>
    <w:p>
      <w:pPr>
        <w:spacing w:after="200"/>
      </w:pPr>
      <w:r>
        <w:rPr>
          <w:rFonts w:ascii="Didact Gothic" w:cs="Didact Gothic" w:eastAsia="Didact Gothic" w:hAnsi="Didact Gothic"/>
          <w:b/>
          <w:bCs/>
          <w:color w:val="1A120B"/>
          <w:sz w:val="22"/>
          <w:szCs w:val="22"/>
        </w:rPr>
        <w:t xml:space="preserve">Good leaver: </w:t>
      </w:r>
      <w:r>
        <w:rPr>
          <w:rFonts w:ascii="Didact Gothic" w:cs="Didact Gothic" w:eastAsia="Didact Gothic" w:hAnsi="Didact Gothic"/>
          <w:i w:val="false"/>
          <w:iCs w:val="false"/>
          <w:color w:val="1A120B"/>
          <w:sz w:val="22"/>
          <w:szCs w:val="22"/>
        </w:rPr>
        <w:t xml:space="preserve">If I leave or am let go without cause after the cliff, I keep everything that's vested at fair market value. Standard.</w:t>
      </w:r>
    </w:p>
    <w:p>
      <w:pPr>
        <w:spacing w:after="200"/>
      </w:pPr>
      <w:r>
        <w:rPr>
          <w:rFonts w:ascii="Didact Gothic" w:cs="Didact Gothic" w:eastAsia="Didact Gothic" w:hAnsi="Didact Gothic"/>
          <w:b/>
          <w:bCs/>
          <w:color w:val="1A120B"/>
          <w:sz w:val="22"/>
          <w:szCs w:val="22"/>
        </w:rPr>
        <w:t xml:space="preserve">Bad leaver: </w:t>
      </w:r>
      <w:r>
        <w:rPr>
          <w:rFonts w:ascii="Didact Gothic" w:cs="Didact Gothic" w:eastAsia="Didact Gothic" w:hAnsi="Didact Gothic"/>
          <w:i w:val="false"/>
          <w:iCs w:val="false"/>
          <w:color w:val="1A120B"/>
          <w:sz w:val="22"/>
          <w:szCs w:val="22"/>
        </w:rPr>
        <w:t xml:space="preserve">Three triggers only: fraud, criminal conviction, material breach of fiduciary duty. Nothing else. The vesting milestones already handle performance. If I'm not hitting the numbers, shares simply don't vest. There's no need for a second subjective layer on top.</w:t>
      </w:r>
    </w:p>
    <w:p>
      <w:pPr>
        <w:pStyle w:val="Heading3"/>
      </w:pPr>
      <w:r>
        <w:t xml:space="preserve">Acceleration on liquidity</w:t>
      </w:r>
    </w:p>
    <w:p>
      <w:pPr>
        <w:spacing w:after="200"/>
      </w:pPr>
      <w:r>
        <w:rPr>
          <w:rFonts w:ascii="Didact Gothic" w:cs="Didact Gothic" w:eastAsia="Didact Gothic" w:hAnsi="Didact Gothic"/>
          <w:i w:val="false"/>
          <w:iCs w:val="false"/>
          <w:color w:val="1A120B"/>
          <w:sz w:val="22"/>
          <w:szCs w:val="22"/>
        </w:rPr>
        <w:t xml:space="preserve">If a sale, merger, or IPO happens before the 36-month vesting is done, all unvested shares vest immediately. We already agreed on this in principle. I'd like it written down. If the company sells at month 18 because of the work we all did, the vesting clock shouldn't penalize anyone.</w:t>
      </w:r>
    </w:p>
    <w:p>
      <w:pPr>
        <w:pStyle w:val="Heading2"/>
      </w:pPr>
      <w:r>
        <w:t xml:space="preserve">3. Salary: accept the sacrifice, step up with the business</w:t>
      </w:r>
    </w:p>
    <w:p>
      <w:pPr>
        <w:spacing w:after="200"/>
      </w:pPr>
      <w:r>
        <w:rPr>
          <w:rFonts w:ascii="Didact Gothic" w:cs="Didact Gothic" w:eastAsia="Didact Gothic" w:hAnsi="Didact Gothic"/>
          <w:i w:val="false"/>
          <w:iCs w:val="false"/>
          <w:color w:val="1A120B"/>
          <w:sz w:val="22"/>
          <w:szCs w:val="22"/>
        </w:rPr>
        <w:t xml:space="preserve">I accept CHF 106K as starting salary. Below market, and I'm OK with that because I believe in this. What I'd like is for the salary to grow when the company can afford it, automatically, written into the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Trigger</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Salary</w:t>
            </w:r>
          </w:p>
        </w:tc>
        <w:tc>
          <w:tcPr>
            <w:tcW w:type="dxa" w:w="276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Logic</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Day 1</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106K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Sacrifice period, skin in the game</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3 months EBITDA positive</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140K</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Company is healthy</w:t>
            </w:r>
          </w:p>
        </w:tc>
      </w:tr>
      <w:tr>
        <w:tc>
          <w:tcPr>
            <w:tcW w:type="dxa" w:w="35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ARR &gt; EUR 1.5M</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170K</w:t>
            </w:r>
          </w:p>
        </w:tc>
        <w:tc>
          <w:tcPr>
            <w:tcW w:type="dxa" w:w="276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Real traction</w:t>
            </w:r>
          </w:p>
        </w:tc>
      </w:tr>
      <w:tr>
        <w:tc>
          <w:tcPr>
            <w:tcW w:type="dxa" w:w="35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Series A funding</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CHF 190K+ (market)</w:t>
            </w:r>
          </w:p>
        </w:tc>
        <w:tc>
          <w:tcPr>
            <w:tcW w:type="dxa" w:w="276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iCs/>
                <w:color w:val="7A6E63"/>
                <w:sz w:val="18"/>
                <w:szCs w:val="18"/>
              </w:rPr>
              <w:t xml:space="preserve">New capital, salary normalizes</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The triggers go into the shareholder agreement and activate automatically. This way nobody has to have an awkward conversation about money when we should be focused on building.</w:t>
      </w:r>
    </w:p>
    <w:p>
      <w:r>
        <w:br w:type="page"/>
      </w:r>
    </w:p>
    <w:p>
      <w:pPr>
        <w:pStyle w:val="Heading2"/>
      </w:pPr>
      <w:r>
        <w:t xml:space="preserve">4. Governance and mutual protections</w:t>
      </w:r>
    </w:p>
    <w:p>
      <w:pPr>
        <w:spacing w:after="200"/>
      </w:pPr>
      <w:r>
        <w:rPr>
          <w:rFonts w:ascii="Didact Gothic" w:cs="Didact Gothic" w:eastAsia="Didact Gothic" w:hAnsi="Didact Gothic"/>
          <w:i w:val="false"/>
          <w:iCs w:val="false"/>
          <w:color w:val="1A120B"/>
          <w:sz w:val="22"/>
          <w:szCs w:val="22"/>
        </w:rPr>
        <w:t xml:space="preserve">These clauses protect all of us, not just me. A clean shareholder agreement makes the company easier to sell, easier to raise for, and easier to run.</w:t>
      </w:r>
    </w:p>
    <w:p>
      <w:pPr>
        <w:pStyle w:val="Heading3"/>
      </w:pPr>
      <w:r>
        <w:t xml:space="preserve">Board of directors</w:t>
      </w:r>
    </w:p>
    <w:p>
      <w:pPr>
        <w:spacing w:after="200"/>
      </w:pPr>
      <w:r>
        <w:rPr>
          <w:rFonts w:ascii="Didact Gothic" w:cs="Didact Gothic" w:eastAsia="Didact Gothic" w:hAnsi="Didact Gothic"/>
          <w:i w:val="false"/>
          <w:iCs w:val="false"/>
          <w:color w:val="1A120B"/>
          <w:sz w:val="22"/>
          <w:szCs w:val="22"/>
        </w:rPr>
        <w:t xml:space="preserve">Three-person board: Amedeo, Marco Corsaro, me. Major decisions (fundraise, sale, budget, C-level hires) require 2 of 3. Standard for a three-partner structure. Nobody gets overruled unilaterally, but nobody can block progress alone either.</w:t>
      </w:r>
    </w:p>
    <w:p>
      <w:pPr>
        <w:pStyle w:val="Heading3"/>
      </w:pPr>
      <w:r>
        <w:t xml:space="preserve">Anti-dilution</w:t>
      </w:r>
    </w:p>
    <w:p>
      <w:pPr>
        <w:spacing w:after="200"/>
      </w:pPr>
      <w:r>
        <w:rPr>
          <w:rFonts w:ascii="Didact Gothic" w:cs="Didact Gothic" w:eastAsia="Didact Gothic" w:hAnsi="Didact Gothic"/>
          <w:i w:val="false"/>
          <w:iCs w:val="false"/>
          <w:color w:val="1A120B"/>
          <w:sz w:val="22"/>
          <w:szCs w:val="22"/>
        </w:rPr>
        <w:t xml:space="preserve">Amedeo mentioned wanting to find a way to protect me from dilution. The simplest approach: pro-rata rights. In any future round, every existing shareholder can invest proportionally to maintain their percentage. If someone can't or doesn't want to invest, they accept the dilution. The option has to exist though.</w:t>
      </w:r>
    </w:p>
    <w:p>
      <w:pPr>
        <w:spacing w:after="200"/>
      </w:pPr>
      <w:r>
        <w:rPr>
          <w:rFonts w:ascii="Didact Gothic" w:cs="Didact Gothic" w:eastAsia="Didact Gothic" w:hAnsi="Didact Gothic"/>
          <w:i w:val="false"/>
          <w:iCs w:val="false"/>
          <w:color w:val="1A120B"/>
          <w:sz w:val="22"/>
          <w:szCs w:val="22"/>
        </w:rPr>
        <w:t xml:space="preserve">On top of that, I'd suggest a floor: my post-Series A ownership can't drop below 15% without my consent. This actually helps everyone. Investors want to see a CEO with meaningful equity. A CEO at 8% after dilution is a flight risk. A CEO locked in at 15%+ is committed. It's a selling point, not a restriction.</w:t>
      </w:r>
    </w:p>
    <w:p>
      <w:pPr>
        <w:pStyle w:val="Heading3"/>
      </w:pPr>
      <w:r>
        <w:t xml:space="preserve">Drag-along and tag-along</w:t>
      </w:r>
    </w:p>
    <w:p>
      <w:pPr>
        <w:spacing w:after="200"/>
      </w:pPr>
      <w:r>
        <w:rPr>
          <w:rFonts w:ascii="Didact Gothic" w:cs="Didact Gothic" w:eastAsia="Didact Gothic" w:hAnsi="Didact Gothic"/>
          <w:b/>
          <w:bCs/>
          <w:color w:val="1A120B"/>
          <w:sz w:val="22"/>
          <w:szCs w:val="22"/>
        </w:rPr>
        <w:t xml:space="preserve">Drag-along: </w:t>
      </w:r>
      <w:r>
        <w:rPr>
          <w:rFonts w:ascii="Didact Gothic" w:cs="Didact Gothic" w:eastAsia="Didact Gothic" w:hAnsi="Didact Gothic"/>
          <w:i w:val="false"/>
          <w:iCs w:val="false"/>
          <w:color w:val="1A120B"/>
          <w:sz w:val="22"/>
          <w:szCs w:val="22"/>
        </w:rPr>
        <w:t xml:space="preserve">If holders of 75%+ of shares agree to sell the company, all other shareholders must sell on the same terms. This protects Amedeo and Marco Corsaro: no minority shareholder can block an exit.</w:t>
      </w:r>
    </w:p>
    <w:p>
      <w:pPr>
        <w:spacing w:after="200"/>
      </w:pPr>
      <w:r>
        <w:rPr>
          <w:rFonts w:ascii="Didact Gothic" w:cs="Didact Gothic" w:eastAsia="Didact Gothic" w:hAnsi="Didact Gothic"/>
          <w:b/>
          <w:bCs/>
          <w:color w:val="1A120B"/>
          <w:sz w:val="22"/>
          <w:szCs w:val="22"/>
        </w:rPr>
        <w:t xml:space="preserve">Tag-along: </w:t>
      </w:r>
      <w:r>
        <w:rPr>
          <w:rFonts w:ascii="Didact Gothic" w:cs="Didact Gothic" w:eastAsia="Didact Gothic" w:hAnsi="Didact Gothic"/>
          <w:i w:val="false"/>
          <w:iCs w:val="false"/>
          <w:color w:val="1A120B"/>
          <w:sz w:val="22"/>
          <w:szCs w:val="22"/>
        </w:rPr>
        <w:t xml:space="preserve">If any shareholder receives an offer to sell their shares, every other shareholder has the right to join the sale on the same terms and price. This protects me: nobody gets a private exit while I'm left behind.</w:t>
      </w:r>
    </w:p>
    <w:p>
      <w:pPr>
        <w:spacing w:after="200"/>
      </w:pPr>
      <w:r>
        <w:rPr>
          <w:rFonts w:ascii="Didact Gothic" w:cs="Didact Gothic" w:eastAsia="Didact Gothic" w:hAnsi="Didact Gothic"/>
          <w:i w:val="false"/>
          <w:iCs w:val="false"/>
          <w:color w:val="1A120B"/>
          <w:sz w:val="22"/>
          <w:szCs w:val="22"/>
        </w:rPr>
        <w:t xml:space="preserve">Both are standard in Swiss shareholder agreements. Both protect everyone equally.</w:t>
      </w:r>
    </w:p>
    <w:p>
      <w:pPr>
        <w:pStyle w:val="Heading3"/>
      </w:pPr>
      <w:r>
        <w:t xml:space="preserve">Deadlock resolution</w:t>
      </w:r>
    </w:p>
    <w:p>
      <w:pPr>
        <w:spacing w:after="200"/>
      </w:pPr>
      <w:r>
        <w:rPr>
          <w:rFonts w:ascii="Didact Gothic" w:cs="Didact Gothic" w:eastAsia="Didact Gothic" w:hAnsi="Didact Gothic"/>
          <w:i w:val="false"/>
          <w:iCs w:val="false"/>
          <w:color w:val="1A120B"/>
          <w:sz w:val="22"/>
          <w:szCs w:val="22"/>
        </w:rPr>
        <w:t xml:space="preserve">If the board is stuck 1-1-1 on a material decision, we agree to bring in a mediator (or a mutually agreed advisor) before anyone does anything drastic. This is a safety valve. It means we commit to resolving disagreements constructively rather than letting them escalate.</w:t>
      </w:r>
    </w:p>
    <w:p>
      <w:pPr>
        <w:pStyle w:val="Heading3"/>
      </w:pPr>
      <w:r>
        <w:t xml:space="preserve">Operational autonomy</w:t>
      </w:r>
    </w:p>
    <w:p>
      <w:pPr>
        <w:spacing w:after="200"/>
      </w:pPr>
      <w:r>
        <w:rPr>
          <w:rFonts w:ascii="Didact Gothic" w:cs="Didact Gothic" w:eastAsia="Didact Gothic" w:hAnsi="Didact Gothic"/>
          <w:i w:val="false"/>
          <w:iCs w:val="false"/>
          <w:color w:val="1A120B"/>
          <w:sz w:val="22"/>
          <w:szCs w:val="22"/>
        </w:rPr>
        <w:t xml:space="preserve">Full CEO authority on product, hiring, and spending within the approved annual budget. Monthly financials to the board, quarterly strategy reviews. The speed of a startup depends on the operator being able to move fast. I'll be transparent about everything, but I need the room to execute.</w:t>
      </w:r>
    </w:p>
    <w:p>
      <w:pPr>
        <w:pStyle w:val="Heading3"/>
      </w:pPr>
      <w:r>
        <w:t xml:space="preserve">Non-compete</w:t>
      </w:r>
    </w:p>
    <w:p>
      <w:pPr>
        <w:spacing w:after="200"/>
      </w:pPr>
      <w:r>
        <w:rPr>
          <w:rFonts w:ascii="Didact Gothic" w:cs="Didact Gothic" w:eastAsia="Didact Gothic" w:hAnsi="Didact Gothic"/>
          <w:i w:val="false"/>
          <w:iCs w:val="false"/>
          <w:color w:val="1A120B"/>
          <w:sz w:val="22"/>
          <w:szCs w:val="22"/>
        </w:rPr>
        <w:t xml:space="preserve">12 months, limited to hotel AI SaaS in Europe, applicable only if I'm a good leaver. If I'm let go without cause, no non-compete. Fair and standard.</w:t>
      </w:r>
    </w:p>
    <w:p>
      <w:pPr>
        <w:pStyle w:val="Heading3"/>
      </w:pPr>
      <w:r>
        <w:t xml:space="preserve">Information rights</w:t>
      </w:r>
    </w:p>
    <w:p>
      <w:pPr>
        <w:spacing w:after="200"/>
      </w:pPr>
      <w:r>
        <w:rPr>
          <w:rFonts w:ascii="Didact Gothic" w:cs="Didact Gothic" w:eastAsia="Didact Gothic" w:hAnsi="Didact Gothic"/>
          <w:i w:val="false"/>
          <w:iCs w:val="false"/>
          <w:color w:val="1A120B"/>
          <w:sz w:val="22"/>
          <w:szCs w:val="22"/>
        </w:rPr>
        <w:t xml:space="preserve">All shareholders receive quarterly financials, annual audited accounts, and advance notice of any material events (funding, sale discussions, key hires/departures). Transparency in both directions.</w:t>
      </w:r>
    </w:p>
    <w:p>
      <w:r>
        <w:br w:type="page"/>
      </w:r>
    </w:p>
    <w:p>
      <w:pPr>
        <w:pStyle w:val="Heading1"/>
      </w:pPr>
      <w:r>
        <w:t xml:space="preserve">Part C: Phantom Share Plan for Employees</w:t>
      </w:r>
    </w:p>
    <w:p>
      <w:pPr>
        <w:spacing w:after="200"/>
      </w:pPr>
      <w:r>
        <w:rPr>
          <w:rFonts w:ascii="Didact Gothic" w:cs="Didact Gothic" w:eastAsia="Didact Gothic" w:hAnsi="Didact Gothic"/>
          <w:i w:val="false"/>
          <w:iCs w:val="false"/>
          <w:color w:val="1A120B"/>
          <w:sz w:val="22"/>
          <w:szCs w:val="22"/>
        </w:rPr>
        <w:t xml:space="preserve">The proposal allocates 10% for the employee pool. I'd like to propose a different structure: 5%, as a Phantom Share Plan (PSOP) instead of real equity. This is better for Amedeo and Marco Corsaro, better for me, and just as good for employees.</w:t>
      </w:r>
    </w:p>
    <w:p>
      <w:pPr>
        <w:pStyle w:val="Heading2"/>
      </w:pPr>
      <w:r>
        <w:t xml:space="preserve">What is a phantom share?</w:t>
      </w:r>
    </w:p>
    <w:p>
      <w:pPr>
        <w:spacing w:after="200"/>
      </w:pPr>
      <w:r>
        <w:rPr>
          <w:rFonts w:ascii="Didact Gothic" w:cs="Didact Gothic" w:eastAsia="Didact Gothic" w:hAnsi="Didact Gothic"/>
          <w:i w:val="false"/>
          <w:iCs w:val="false"/>
          <w:color w:val="1A120B"/>
          <w:sz w:val="22"/>
          <w:szCs w:val="22"/>
        </w:rPr>
        <w:t xml:space="preserve">A contractual promise that gives an employee a cash payout tied to the company's value at exit. They get the economic upside without appearing on the cap table, without voting rights, and without needing a capital increase to grant it.</w:t>
      </w:r>
    </w:p>
    <w:p>
      <w:pPr>
        <w:spacing w:after="200"/>
      </w:pPr>
      <w:r>
        <w:rPr>
          <w:rFonts w:ascii="Didact Gothic" w:cs="Didact Gothic" w:eastAsia="Didact Gothic" w:hAnsi="Didact Gothic"/>
          <w:color w:val="7A6E63"/>
          <w:sz w:val="20"/>
          <w:szCs w:val="20"/>
        </w:rPr>
        <w:t xml:space="preserve">MME Legal (Zurich) defines it as "a virtual participation that mirrors the value of a share and puts the beneficiary on an equal footing with a shareholder in terms of financial rights." </w:t>
      </w:r>
      <w:hyperlink w:history="1" r:id="rId6cc4p_ebusq1xkhpdcv7p">
        <w:r>
          <w:rPr>
            <w:rStyle w:val="Hyperlink"/>
            <w:rFonts w:ascii="Didact Gothic" w:cs="Didact Gothic" w:eastAsia="Didact Gothic" w:hAnsi="Didact Gothic"/>
            <w:sz w:val="18"/>
            <w:szCs w:val="18"/>
          </w:rPr>
          <w:t xml:space="preserve">Source</w:t>
        </w:r>
      </w:hyperlink>
    </w:p>
    <w:p>
      <w:pPr>
        <w:spacing w:after="200"/>
      </w:pPr>
      <w:r>
        <w:rPr>
          <w:rFonts w:ascii="Didact Gothic" w:cs="Didact Gothic" w:eastAsia="Didact Gothic" w:hAnsi="Didact Gothic"/>
          <w:color w:val="7A6E63"/>
          <w:sz w:val="20"/>
          <w:szCs w:val="20"/>
        </w:rPr>
        <w:t xml:space="preserve">LEXR (Zurich): "The participants of the PSOP do not become shareholders. Instead, they receive a contractual right to receive a cash payment upon the occurrence of certain trigger events." </w:t>
      </w:r>
      <w:hyperlink w:history="1" r:id="rIdkawdioebkj35nmfrvat_h">
        <w:r>
          <w:rPr>
            <w:rStyle w:val="Hyperlink"/>
            <w:rFonts w:ascii="Didact Gothic" w:cs="Didact Gothic" w:eastAsia="Didact Gothic" w:hAnsi="Didact Gothic"/>
            <w:sz w:val="18"/>
            <w:szCs w:val="18"/>
          </w:rPr>
          <w:t xml:space="preserve">Source</w:t>
        </w:r>
      </w:hyperlink>
    </w:p>
    <w:p>
      <w:pPr>
        <w:pStyle w:val="Heading2"/>
      </w:pPr>
      <w:r>
        <w:t xml:space="preserve">Why this is better for everyone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c>
          <w:tcPr>
            <w:tcW w:type="dxa" w:w="24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ESOP (real shares)</w:t>
            </w:r>
          </w:p>
        </w:tc>
        <w:tc>
          <w:tcPr>
            <w:tcW w:type="dxa" w:w="33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PSOP (phantom)</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Dilutes everyone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Zero dilution</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Implementation</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Capital increase, notary, General Meeting</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Board resolution + contract</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New hire grant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Formal process every time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One contract, ten minutes</w:t>
            </w:r>
          </w:p>
        </w:tc>
      </w:tr>
      <w:tr>
        <w:tc>
          <w:tcPr>
            <w:tcW w:type="dxa" w:w="24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Investor view</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Multiple small shareholders</w:t>
            </w:r>
          </w:p>
        </w:tc>
        <w:tc>
          <w:tcPr>
            <w:tcW w:type="dxa" w:w="33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Clean: 3 names on cap table</w:t>
            </w:r>
          </w:p>
        </w:tc>
      </w:tr>
      <w:tr>
        <w:tc>
          <w:tcPr>
            <w:tcW w:type="dxa" w:w="24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Tax for employee</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May owe tax at grant</w:t>
            </w:r>
          </w:p>
        </w:tc>
        <w:tc>
          <w:tcPr>
            <w:tcW w:type="dxa" w:w="33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Zero tax until cash payout at exit</w:t>
            </w:r>
          </w:p>
        </w:tc>
      </w:tr>
    </w:tbl>
    <w:p>
      <w:pPr>
        <w:spacing w:after="0" w:before="200"/>
      </w:pPr>
    </w:p>
    <w:p>
      <w:pPr>
        <w:pStyle w:val="Heading2"/>
      </w:pPr>
      <w:r>
        <w:t xml:space="preserve">Cap table comparison</w:t>
      </w:r>
    </w:p>
    <w:p>
      <w:pPr>
        <w:spacing w:after="200"/>
      </w:pPr>
      <w:r>
        <w:rPr>
          <w:rFonts w:ascii="Didact Gothic" w:cs="Didact Gothic" w:eastAsia="Didact Gothic" w:hAnsi="Didact Gothic"/>
          <w:i w:val="false"/>
          <w:iCs w:val="false"/>
          <w:color w:val="1A120B"/>
          <w:sz w:val="22"/>
          <w:szCs w:val="22"/>
        </w:rPr>
        <w:t xml:space="preserve">Here's what the cap table looks like with a PSOP versus a traditional ESOP. The PSOP keeps everyone's real equity higher: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c>
          <w:tcPr>
            <w:tcW w:type="dxa" w:w="36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Shareholder</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With 5% PSOP</w:t>
            </w:r>
          </w:p>
        </w:tc>
        <w:tc>
          <w:tcPr>
            <w:tcW w:type="dxa" w:w="2713"/>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With 10% ESOP</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Amedeo + Marco Corsaro</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80%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72%</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Marco Di Cesare</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20%</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B33A3A"/>
                <w:sz w:val="18"/>
                <w:szCs w:val="18"/>
              </w:rPr>
              <w:t xml:space="preserve">18%</w:t>
            </w:r>
          </w:p>
        </w:tc>
      </w:tr>
      <w:tr>
        <w:tc>
          <w:tcPr>
            <w:tcW w:type="dxa" w:w="36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Employees on cap table</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3A7D44"/>
                <w:sz w:val="18"/>
                <w:szCs w:val="18"/>
              </w:rPr>
              <w:t xml:space="preserve">0%</w:t>
            </w:r>
          </w:p>
        </w:tc>
        <w:tc>
          <w:tcPr>
            <w:tcW w:type="dxa" w:w="2713"/>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w:t>
            </w:r>
          </w:p>
        </w:tc>
      </w:tr>
      <w:tr>
        <w:tc>
          <w:tcPr>
            <w:tcW w:type="dxa" w:w="36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Employee economic upside</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(off the top at exit)</w:t>
            </w:r>
          </w:p>
        </w:tc>
        <w:tc>
          <w:tcPr>
            <w:tcW w:type="dxa" w:w="2713"/>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10% (real shares)</w:t>
            </w:r>
          </w:p>
        </w:tc>
      </w:tr>
    </w:tbl>
    <w:p>
      <w:pPr>
        <w:spacing w:after="0" w:before="200"/>
      </w:pPr>
    </w:p>
    <w:p>
      <w:pPr>
        <w:spacing w:after="200"/>
      </w:pPr>
      <w:r>
        <w:rPr>
          <w:rFonts w:ascii="Didact Gothic" w:cs="Didact Gothic" w:eastAsia="Didact Gothic" w:hAnsi="Didact Gothic"/>
          <w:i w:val="false"/>
          <w:iCs w:val="false"/>
          <w:color w:val="1A120B"/>
          <w:sz w:val="22"/>
          <w:szCs w:val="22"/>
        </w:rPr>
        <w:t xml:space="preserve">With ESOP: everyone dilutes proportionally. From an 80/20 split, issuing 10% new shares means new total = 110 units. Amedeo + Marco Corsaro: 80/110 = 72.7%. Me: 20/110 = 18.2%. Employees: 10%. With PSOP: nobody dilutes. 80/20 stays 80/20. The phantom pool sits outside the cap table as a contractual liability, paid from exit proceeds. Everyone pays proportionally.</w:t>
      </w:r>
    </w:p>
    <w:p>
      <w:pPr>
        <w:pStyle w:val="Heading2"/>
      </w:pPr>
      <w:r>
        <w:t xml:space="preserve">Why 5%, not 10%</w:t>
      </w:r>
    </w:p>
    <w:p>
      <w:pPr>
        <w:spacing w:after="200"/>
      </w:pPr>
      <w:r>
        <w:rPr>
          <w:rFonts w:ascii="Didact Gothic" w:cs="Didact Gothic" w:eastAsia="Didact Gothic" w:hAnsi="Didact Gothic"/>
          <w:color w:val="1A120B"/>
          <w:sz w:val="22"/>
          <w:szCs w:val="22"/>
        </w:rPr>
        <w:t xml:space="preserve">The Swiss Startup Association says 10% is the norm for Swiss startups. </w:t>
      </w:r>
      <w:hyperlink w:history="1" r:id="rIdcstzhkaskzpn67mpdwqzi">
        <w:r>
          <w:rPr>
            <w:rStyle w:val="Hyperlink"/>
            <w:rFonts w:ascii="Didact Gothic" w:cs="Didact Gothic" w:eastAsia="Didact Gothic" w:hAnsi="Didact Gothic"/>
            <w:sz w:val="18"/>
            <w:szCs w:val="18"/>
          </w:rPr>
          <w:t xml:space="preserve">Source</w:t>
        </w:r>
      </w:hyperlink>
    </w:p>
    <w:p>
      <w:pPr>
        <w:spacing w:after="200"/>
      </w:pPr>
      <w:r>
        <w:rPr>
          <w:rFonts w:ascii="Didact Gothic" w:cs="Didact Gothic" w:eastAsia="Didact Gothic" w:hAnsi="Didact Gothic"/>
          <w:i w:val="false"/>
          <w:iCs w:val="false"/>
          <w:color w:val="1A120B"/>
          <w:sz w:val="22"/>
          <w:szCs w:val="22"/>
        </w:rPr>
        <w:t xml:space="preserve">But that's for a company with 15-20 people. We have two: Elise and Luisa. At 5%, Elise could get 1.5% and Luisa 0.5-1%, with room left for future hires. If Elise holds 1.5% and we exit at EUR 38M (base case), her payout is roughly EUR 570K gross. That's life-changing money. Nobody turns that down because the pool is 5% instead of 10%.</w:t>
      </w:r>
    </w:p>
    <w:p>
      <w:pPr>
        <w:spacing w:after="200"/>
      </w:pPr>
      <w:r>
        <w:rPr>
          <w:rFonts w:ascii="Didact Gothic" w:cs="Didact Gothic" w:eastAsia="Didact Gothic" w:hAnsi="Didact Gothic"/>
          <w:i w:val="false"/>
          <w:iCs w:val="false"/>
          <w:color w:val="1A120B"/>
          <w:sz w:val="22"/>
          <w:szCs w:val="22"/>
        </w:rPr>
        <w:t xml:space="preserve">We can always expand the pool at Series A, when investors will want a refreshed 10-15% option pool anyway. Starting small is prudent. Starting big and regretting it later isn't an option.</w:t>
      </w:r>
    </w:p>
    <w:p>
      <w:pPr>
        <w:pStyle w:val="Heading2"/>
      </w:pPr>
      <w:r>
        <w:t xml:space="preserve">Tax treatment (quick version)</w:t>
      </w:r>
    </w:p>
    <w:p>
      <w:pPr>
        <w:spacing w:after="200"/>
      </w:pPr>
      <w:r>
        <w:rPr>
          <w:rFonts w:ascii="Didact Gothic" w:cs="Didact Gothic" w:eastAsia="Didact Gothic" w:hAnsi="Didact Gothic"/>
          <w:color w:val="1A120B"/>
          <w:sz w:val="22"/>
          <w:szCs w:val="22"/>
        </w:rPr>
        <w:t xml:space="preserve">Under the Swiss Federal Tax Administration's Circular Letter No. 37 (amended October 2020), phantom shares are "non-genuine" employee participations. No tax at grant. No tax at vesting. Tax only when cash is paid out at exit. Both VISCHER and the Swiss Startup Association recommend getting a tax ruling from Canton Zug before the first grant. Costs CHF 2-5K and locks everything in. </w:t>
      </w:r>
      <w:hyperlink w:history="1" r:id="rId7kmnw8o9p8az8zkemzm47">
        <w:r>
          <w:rPr>
            <w:rStyle w:val="Hyperlink"/>
            <w:rFonts w:ascii="Didact Gothic" w:cs="Didact Gothic" w:eastAsia="Didact Gothic" w:hAnsi="Didact Gothic"/>
            <w:sz w:val="18"/>
            <w:szCs w:val="18"/>
          </w:rPr>
          <w:t xml:space="preserve">Pestalozzi source</w:t>
        </w:r>
      </w:hyperlink>
    </w:p>
    <w:p>
      <w:pPr>
        <w:pStyle w:val="Heading2"/>
      </w:pPr>
      <w:r>
        <w:t xml:space="preserve">This is standard in Europe</w:t>
      </w:r>
    </w:p>
    <w:p>
      <w:pPr>
        <w:spacing w:after="200"/>
      </w:pPr>
      <w:r>
        <w:rPr>
          <w:rFonts w:ascii="Didact Gothic" w:cs="Didact Gothic" w:eastAsia="Didact Gothic" w:hAnsi="Didact Gothic"/>
          <w:color w:val="1A120B"/>
          <w:sz w:val="22"/>
          <w:szCs w:val="22"/>
        </w:rPr>
        <w:t xml:space="preserve">In Germany, VSOPs (the local equivalent of phantom shares) are the dominant form of employee equity. N26 ($9B), Personio ($8.5B), and Celonis ($13B) all used virtual share structures. In Switzerland, Ledgy (Zurich, Sequoia-backed) offers dedicated PSOP management tools. Harvard Business School teaches phantom stock as a standard corporate finance instrument. This isn't new or experimental. </w:t>
      </w:r>
      <w:hyperlink w:history="1" r:id="rIdnpofqvdwdu3hmpr0jfeqc">
        <w:r>
          <w:rPr>
            <w:rStyle w:val="Hyperlink"/>
            <w:rFonts w:ascii="Didact Gothic" w:cs="Didact Gothic" w:eastAsia="Didact Gothic" w:hAnsi="Didact Gothic"/>
            <w:sz w:val="18"/>
            <w:szCs w:val="18"/>
          </w:rPr>
          <w:t xml:space="preserve">Saltox guide</w:t>
        </w:r>
      </w:hyperlink>
    </w:p>
    <w:p>
      <w:pPr>
        <w:pStyle w:val="Heading2"/>
      </w:pPr>
      <w:r>
        <w:t xml:space="preserve">Proposed PSOP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Parameter</w:t>
            </w:r>
          </w:p>
        </w:tc>
        <w:tc>
          <w:tcPr>
            <w:tcW w:type="dxa" w:w="6226"/>
            <w:tcBorders>
              <w:top w:val="single" w:color="D4CBC2" w:sz="1"/>
              <w:left w:val="single" w:color="D4CBC2" w:sz="1"/>
              <w:bottom w:val="single" w:color="D4CBC2" w:sz="1"/>
              <w:right w:val="single" w:color="D4CBC2" w:sz="1"/>
            </w:tcBorders>
            <w:shd w:fill="8B4A2B" w:val="clear"/>
            <w:tcMar>
              <w:top w:type="dxa" w:w="80"/>
              <w:left w:type="dxa" w:w="120"/>
              <w:bottom w:type="dxa" w:w="80"/>
              <w:right w:type="dxa" w:w="120"/>
            </w:tcMar>
          </w:tcPr>
          <w:p>
            <w:r>
              <w:rPr>
                <w:rFonts w:ascii="Didact Gothic" w:cs="Didact Gothic" w:eastAsia="Didact Gothic" w:hAnsi="Didact Gothic"/>
                <w:b/>
                <w:bCs/>
                <w:color w:val="FFFFFF"/>
                <w:sz w:val="18"/>
                <w:szCs w:val="18"/>
              </w:rPr>
              <w:t xml:space="preserve">Proposal</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Pool size</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5% economic equivalent</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Cap table impact</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None. Real cap table stays: Amedeo + Marco Corsaro 80%, Marco DC 20%</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Vesting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4 years, 1-year cliff, then quarterly</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Payout trigger</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Exit only (acquisition, IPO). No early buyback obligation</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Acceleration</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Double trigger: only if employee is terminated within 12 months post-exit</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Good leaver</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Keeps all vested phantom shares, paid at exit</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Bad leaver</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Forfeits all (vested + unvested)</w:t>
            </w:r>
          </w:p>
        </w:tc>
      </w:tr>
      <w:tr>
        <w:tc>
          <w:tcPr>
            <w:tcW w:type="dxa" w:w="2800"/>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Valuation</w:t>
            </w:r>
          </w:p>
        </w:tc>
        <w:tc>
          <w:tcPr>
            <w:tcW w:type="dxa" w:w="6226"/>
            <w:tcBorders>
              <w:top w:val="single" w:color="D4CBC2" w:sz="1"/>
              <w:left w:val="single" w:color="D4CBC2" w:sz="1"/>
              <w:bottom w:val="single" w:color="D4CBC2" w:sz="1"/>
              <w:right w:val="single" w:color="D4CBC2" w:sz="1"/>
            </w:tcBorders>
            <w:shd w:fill="FAF7F2" w:val="clear"/>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Last funding round, or board-approved formula if pre-funding</w:t>
            </w:r>
          </w:p>
        </w:tc>
      </w:tr>
      <w:tr>
        <w:tc>
          <w:tcPr>
            <w:tcW w:type="dxa" w:w="2800"/>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bCs/>
                <w:i w:val="false"/>
                <w:iCs w:val="false"/>
                <w:color w:val="1A120B"/>
                <w:sz w:val="18"/>
                <w:szCs w:val="18"/>
              </w:rPr>
              <w:t xml:space="preserve">Tax ruling</w:t>
            </w:r>
          </w:p>
        </w:tc>
        <w:tc>
          <w:tcPr>
            <w:tcW w:type="dxa" w:w="6226"/>
            <w:tcBorders>
              <w:top w:val="single" w:color="D4CBC2" w:sz="1"/>
              <w:left w:val="single" w:color="D4CBC2" w:sz="1"/>
              <w:bottom w:val="single" w:color="D4CBC2" w:sz="1"/>
              <w:right w:val="single" w:color="D4CBC2" w:sz="1"/>
            </w:tcBorders>
            <w:tcMar>
              <w:top w:type="dxa" w:w="80"/>
              <w:left w:type="dxa" w:w="120"/>
              <w:bottom w:type="dxa" w:w="80"/>
              <w:right w:type="dxa" w:w="120"/>
            </w:tcMar>
          </w:tcPr>
          <w:p>
            <w:r>
              <w:rPr>
                <w:rFonts w:ascii="Didact Gothic" w:cs="Didact Gothic" w:eastAsia="Didact Gothic" w:hAnsi="Didact Gothic"/>
                <w:b w:val="false"/>
                <w:bCs w:val="false"/>
                <w:i w:val="false"/>
                <w:iCs w:val="false"/>
                <w:color w:val="1A120B"/>
                <w:sz w:val="18"/>
                <w:szCs w:val="18"/>
              </w:rPr>
              <w:t xml:space="preserve">File with Canton Zug before first grant (est. CHF 2-5K)</w:t>
            </w:r>
          </w:p>
        </w:tc>
      </w:tr>
    </w:tbl>
    <w:p>
      <w:r>
        <w:br w:type="page"/>
      </w:r>
    </w:p>
    <w:p>
      <w:pPr>
        <w:pStyle w:val="Heading1"/>
      </w:pPr>
      <w:r>
        <w:t xml:space="preserve">Part D: Prossimi passi</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Allineiamoci sui termini commerciali. Niente avvocati per ora, solo noi tre che concordiamo i numeri e i principi.</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Una volta allineati, il commercialista che Amedeo conosce o un altro professionista di fiducia puo' preparare il patto parasociale e il Phantom Share Plan. Decidete voi chi coinvolgere.</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Steuer-Ruling al Canton Zugo per il PSOP (CHF 2-5K, 4-6 settimane). Questo blocca il trattamento fiscale per tutti.</w:t>
      </w:r>
    </w:p>
    <w:p>
      <w:pPr>
        <w:pStyle w:val="ListParagraph"/>
        <w:numPr>
          <w:ilvl w:val="0"/>
          <w:numId w:val="2"/>
        </w:numPr>
        <w:spacing w:after="200"/>
      </w:pPr>
      <w:r>
        <w:rPr>
          <w:rFonts w:ascii="Didact Gothic" w:cs="Didact Gothic" w:eastAsia="Didact Gothic" w:hAnsi="Didact Gothic"/>
          <w:i w:val="false"/>
          <w:iCs w:val="false"/>
          <w:color w:val="1A120B"/>
          <w:sz w:val="22"/>
          <w:szCs w:val="22"/>
        </w:rPr>
        <w:t xml:space="preserve">Costituzione Lumina AG a Zugo. Io sono disponibile da subito, anche part-time durante il preavviso come abbiamo detto.</w:t>
      </w:r>
    </w:p>
    <w:p>
      <w:pPr>
        <w:spacing w:after="0" w:before="400"/>
      </w:pPr>
    </w:p>
    <w:p>
      <w:pPr>
        <w:spacing w:after="200"/>
      </w:pPr>
      <w:r>
        <w:rPr>
          <w:rFonts w:ascii="Didact Gothic" w:cs="Didact Gothic" w:eastAsia="Didact Gothic" w:hAnsi="Didact Gothic"/>
          <w:i w:val="false"/>
          <w:iCs w:val="false"/>
          <w:color w:val="1A120B"/>
          <w:sz w:val="22"/>
          <w:szCs w:val="22"/>
        </w:rPr>
        <w:t xml:space="preserve">Voglio costruire questa azienda. Questi aggiustamenti non servono a prendere di piu' dal deal. Servono a creare una struttura che regge quando le cose si complicano. Un CEO con incentivi chiari, protezioni giuste e ownership vera costruisce in modo diverso da uno che e' incerto sui propri termini.</w:t>
      </w:r>
    </w:p>
    <w:p>
      <w:pPr>
        <w:spacing w:after="200"/>
      </w:pPr>
      <w:r>
        <w:rPr>
          <w:rFonts w:ascii="Didact Gothic" w:cs="Didact Gothic" w:eastAsia="Didact Gothic" w:hAnsi="Didact Gothic"/>
          <w:i w:val="false"/>
          <w:iCs w:val="false"/>
          <w:color w:val="1A120B"/>
          <w:sz w:val="22"/>
          <w:szCs w:val="22"/>
        </w:rPr>
        <w:t xml:space="preserve">Sono pronto quando volete.</w:t>
      </w:r>
    </w:p>
    <w:p>
      <w:pPr>
        <w:spacing w:after="0" w:before="400"/>
      </w:pPr>
    </w:p>
    <w:p>
      <w:r>
        <w:rPr>
          <w:rFonts w:ascii="Cormorant Garamond" w:cs="Cormorant Garamond" w:eastAsia="Cormorant Garamond" w:hAnsi="Cormorant Garamond"/>
          <w:b/>
          <w:bCs/>
          <w:color w:val="1A120B"/>
          <w:sz w:val="24"/>
          <w:szCs w:val="24"/>
        </w:rPr>
        <w:t xml:space="preserve">Marco Di Cesare</w:t>
      </w:r>
    </w:p>
    <w:p>
      <w:r>
        <w:rPr>
          <w:rFonts w:ascii="Didact Gothic" w:cs="Didact Gothic" w:eastAsia="Didact Gothic" w:hAnsi="Didact Gothic"/>
          <w:color w:val="7A6E63"/>
          <w:sz w:val="18"/>
          <w:szCs w:val="18"/>
        </w:rPr>
        <w:t xml:space="preserve">Marzo 2026</w:t>
      </w:r>
    </w:p>
    <w:p>
      <w:r>
        <w:br w:type="page"/>
      </w:r>
    </w:p>
    <w:p>
      <w:pPr>
        <w:pStyle w:val="Heading1"/>
      </w:pPr>
      <w:r>
        <w:t xml:space="preserve">Sources</w:t>
      </w:r>
    </w:p>
    <w:p>
      <w:pPr>
        <w:spacing w:after="200"/>
      </w:pPr>
      <w:r>
        <w:rPr>
          <w:rFonts w:ascii="Didact Gothic" w:cs="Didact Gothic" w:eastAsia="Didact Gothic" w:hAnsi="Didact Gothic"/>
          <w:color w:val="7A6E63"/>
          <w:sz w:val="20"/>
          <w:szCs w:val="20"/>
        </w:rPr>
        <w:t xml:space="preserve">All claims sourced from:</w:t>
      </w:r>
    </w:p>
    <w:p>
      <w:pPr>
        <w:spacing w:after="80"/>
      </w:pPr>
      <w:r>
        <w:rPr>
          <w:rFonts w:ascii="Didact Gothic" w:cs="Didact Gothic" w:eastAsia="Didact Gothic" w:hAnsi="Didact Gothic"/>
          <w:b/>
          <w:bCs/>
          <w:color w:val="1A120B"/>
          <w:sz w:val="18"/>
          <w:szCs w:val="18"/>
        </w:rPr>
        <w:t xml:space="preserve">1. LEXR AG (Zurich) — </w:t>
      </w:r>
      <w:r>
        <w:rPr>
          <w:rFonts w:ascii="Didact Gothic" w:cs="Didact Gothic" w:eastAsia="Didact Gothic" w:hAnsi="Didact Gothic"/>
          <w:i/>
          <w:iCs/>
          <w:color w:val="7A6E63"/>
          <w:sz w:val="18"/>
          <w:szCs w:val="18"/>
        </w:rPr>
        <w:t xml:space="preserve">Phantom Share Plan Guide </w:t>
      </w:r>
      <w:hyperlink w:history="1" r:id="rIdfwpxpfcb4gnl8os5h3pk9">
        <w:r>
          <w:rPr>
            <w:rStyle w:val="Hyperlink"/>
            <w:rFonts w:ascii="Didact Gothic" w:cs="Didact Gothic" w:eastAsia="Didact Gothic" w:hAnsi="Didact Gothic"/>
            <w:sz w:val="18"/>
            <w:szCs w:val="18"/>
          </w:rPr>
          <w:t xml:space="preserve">https://www.lexr.com/en-ch/blog/phantom-share-plan-setup-payouts-benefits/</w:t>
        </w:r>
      </w:hyperlink>
    </w:p>
    <w:p>
      <w:pPr>
        <w:spacing w:after="80"/>
      </w:pPr>
      <w:r>
        <w:rPr>
          <w:rFonts w:ascii="Didact Gothic" w:cs="Didact Gothic" w:eastAsia="Didact Gothic" w:hAnsi="Didact Gothic"/>
          <w:b/>
          <w:bCs/>
          <w:color w:val="1A120B"/>
          <w:sz w:val="18"/>
          <w:szCs w:val="18"/>
        </w:rPr>
        <w:t xml:space="preserve">2. MME Legal (Zurich) — </w:t>
      </w:r>
      <w:r>
        <w:rPr>
          <w:rFonts w:ascii="Didact Gothic" w:cs="Didact Gothic" w:eastAsia="Didact Gothic" w:hAnsi="Didact Gothic"/>
          <w:i/>
          <w:iCs/>
          <w:color w:val="7A6E63"/>
          <w:sz w:val="18"/>
          <w:szCs w:val="18"/>
        </w:rPr>
        <w:t xml:space="preserve">Phantom Shares: Virtual Shareholdings </w:t>
      </w:r>
      <w:hyperlink w:history="1" r:id="rIdjzee4y4kz7ybicmh4xz4s">
        <w:r>
          <w:rPr>
            <w:rStyle w:val="Hyperlink"/>
            <w:rFonts w:ascii="Didact Gothic" w:cs="Didact Gothic" w:eastAsia="Didact Gothic" w:hAnsi="Didact Gothic"/>
            <w:sz w:val="18"/>
            <w:szCs w:val="18"/>
          </w:rPr>
          <w:t xml:space="preserve">https://www.mme.ch/en/magazine/articles/phantom-shares-virtual-shareholdings</w:t>
        </w:r>
      </w:hyperlink>
    </w:p>
    <w:p>
      <w:pPr>
        <w:spacing w:after="80"/>
      </w:pPr>
      <w:r>
        <w:rPr>
          <w:rFonts w:ascii="Didact Gothic" w:cs="Didact Gothic" w:eastAsia="Didact Gothic" w:hAnsi="Didact Gothic"/>
          <w:b/>
          <w:bCs/>
          <w:color w:val="1A120B"/>
          <w:sz w:val="18"/>
          <w:szCs w:val="18"/>
        </w:rPr>
        <w:t xml:space="preserve">3. Pestalozzi Attorneys (Zurich) — </w:t>
      </w:r>
      <w:r>
        <w:rPr>
          <w:rFonts w:ascii="Didact Gothic" w:cs="Didact Gothic" w:eastAsia="Didact Gothic" w:hAnsi="Didact Gothic"/>
          <w:i/>
          <w:iCs/>
          <w:color w:val="7A6E63"/>
          <w:sz w:val="18"/>
          <w:szCs w:val="18"/>
        </w:rPr>
        <w:t xml:space="preserve">Taxation of Employee Equity Incentives </w:t>
      </w:r>
      <w:hyperlink w:history="1" r:id="rId6ojlhy91qmkc9a4jkvxa1">
        <w:r>
          <w:rPr>
            <w:rStyle w:val="Hyperlink"/>
            <w:rFonts w:ascii="Didact Gothic" w:cs="Didact Gothic" w:eastAsia="Didact Gothic" w:hAnsi="Didact Gothic"/>
            <w:sz w:val="18"/>
            <w:szCs w:val="18"/>
          </w:rPr>
          <w:t xml:space="preserve">https://pestalozzilaw.com/en/insights/news/legal-insights/taxation-employee-equity-incentives-switzerland/</w:t>
        </w:r>
      </w:hyperlink>
    </w:p>
    <w:p>
      <w:pPr>
        <w:spacing w:after="80"/>
      </w:pPr>
      <w:r>
        <w:rPr>
          <w:rFonts w:ascii="Didact Gothic" w:cs="Didact Gothic" w:eastAsia="Didact Gothic" w:hAnsi="Didact Gothic"/>
          <w:b/>
          <w:bCs/>
          <w:color w:val="1A120B"/>
          <w:sz w:val="18"/>
          <w:szCs w:val="18"/>
        </w:rPr>
        <w:t xml:space="preserve">4. VISCHER AG (Basel/Zurich) — </w:t>
      </w:r>
      <w:r>
        <w:rPr>
          <w:rFonts w:ascii="Didact Gothic" w:cs="Didact Gothic" w:eastAsia="Didact Gothic" w:hAnsi="Didact Gothic"/>
          <w:i/>
          <w:iCs/>
          <w:color w:val="7A6E63"/>
          <w:sz w:val="18"/>
          <w:szCs w:val="18"/>
        </w:rPr>
        <w:t xml:space="preserve">Employee Participation </w:t>
      </w:r>
      <w:hyperlink w:history="1" r:id="rIdmoeqzmiqs5zqgc0onda4_">
        <w:r>
          <w:rPr>
            <w:rStyle w:val="Hyperlink"/>
            <w:rFonts w:ascii="Didact Gothic" w:cs="Didact Gothic" w:eastAsia="Didact Gothic" w:hAnsi="Didact Gothic"/>
            <w:sz w:val="18"/>
            <w:szCs w:val="18"/>
          </w:rPr>
          <w:t xml:space="preserve">https://www.vischer.com/en/knowledge/blog/employee-participation-part-1-40236/</w:t>
        </w:r>
      </w:hyperlink>
    </w:p>
    <w:p>
      <w:pPr>
        <w:spacing w:after="80"/>
      </w:pPr>
      <w:r>
        <w:rPr>
          <w:rFonts w:ascii="Didact Gothic" w:cs="Didact Gothic" w:eastAsia="Didact Gothic" w:hAnsi="Didact Gothic"/>
          <w:b/>
          <w:bCs/>
          <w:color w:val="1A120B"/>
          <w:sz w:val="18"/>
          <w:szCs w:val="18"/>
        </w:rPr>
        <w:t xml:space="preserve">5. Walder Wyss (Zurich) — </w:t>
      </w:r>
      <w:r>
        <w:rPr>
          <w:rFonts w:ascii="Didact Gothic" w:cs="Didact Gothic" w:eastAsia="Didact Gothic" w:hAnsi="Didact Gothic"/>
          <w:i/>
          <w:iCs/>
          <w:color w:val="7A6E63"/>
          <w:sz w:val="18"/>
          <w:szCs w:val="18"/>
        </w:rPr>
        <w:t xml:space="preserve">Employee Share Plans in Switzerland (Thomson Reuters, 2020) </w:t>
      </w:r>
      <w:hyperlink w:history="1" r:id="rIdwstlt8vaenzwglrpdnxrr">
        <w:r>
          <w:rPr>
            <w:rStyle w:val="Hyperlink"/>
            <w:rFonts w:ascii="Didact Gothic" w:cs="Didact Gothic" w:eastAsia="Didact Gothic" w:hAnsi="Didact Gothic"/>
            <w:sz w:val="18"/>
            <w:szCs w:val="18"/>
          </w:rPr>
          <w:t xml:space="preserve">https://www.walderwyss.com/assets/content/publications/Employee-share-plans-in-Switzerland-regulatory-overview.pdf</w:t>
        </w:r>
      </w:hyperlink>
    </w:p>
    <w:p>
      <w:pPr>
        <w:spacing w:after="80"/>
      </w:pPr>
      <w:r>
        <w:rPr>
          <w:rFonts w:ascii="Didact Gothic" w:cs="Didact Gothic" w:eastAsia="Didact Gothic" w:hAnsi="Didact Gothic"/>
          <w:b/>
          <w:bCs/>
          <w:color w:val="1A120B"/>
          <w:sz w:val="18"/>
          <w:szCs w:val="18"/>
        </w:rPr>
        <w:t xml:space="preserve">6. Swiss Federal Tax Administration — </w:t>
      </w:r>
      <w:r>
        <w:rPr>
          <w:rFonts w:ascii="Didact Gothic" w:cs="Didact Gothic" w:eastAsia="Didact Gothic" w:hAnsi="Didact Gothic"/>
          <w:i/>
          <w:iCs/>
          <w:color w:val="7A6E63"/>
          <w:sz w:val="18"/>
          <w:szCs w:val="18"/>
        </w:rPr>
        <w:t xml:space="preserve">Circular Letter No. 37 (amended October 2020)</w:t>
      </w:r>
    </w:p>
    <w:p>
      <w:pPr>
        <w:spacing w:after="80"/>
      </w:pPr>
      <w:r>
        <w:rPr>
          <w:rFonts w:ascii="Didact Gothic" w:cs="Didact Gothic" w:eastAsia="Didact Gothic" w:hAnsi="Didact Gothic"/>
          <w:b/>
          <w:bCs/>
          <w:color w:val="1A120B"/>
          <w:sz w:val="18"/>
          <w:szCs w:val="18"/>
        </w:rPr>
        <w:t xml:space="preserve">7. Konsento AG (Zurich) — </w:t>
      </w:r>
      <w:r>
        <w:rPr>
          <w:rFonts w:ascii="Didact Gothic" w:cs="Didact Gothic" w:eastAsia="Didact Gothic" w:hAnsi="Didact Gothic"/>
          <w:i/>
          <w:iCs/>
          <w:color w:val="7A6E63"/>
          <w:sz w:val="18"/>
          <w:szCs w:val="18"/>
        </w:rPr>
        <w:t xml:space="preserve">Employee Participation in Switzerland </w:t>
      </w:r>
      <w:hyperlink w:history="1" r:id="rIdylcumryrzx0je817xmav-">
        <w:r>
          <w:rPr>
            <w:rStyle w:val="Hyperlink"/>
            <w:rFonts w:ascii="Didact Gothic" w:cs="Didact Gothic" w:eastAsia="Didact Gothic" w:hAnsi="Didact Gothic"/>
            <w:sz w:val="18"/>
            <w:szCs w:val="18"/>
          </w:rPr>
          <w:t xml:space="preserve">https://www.konsento.ch/en/post/employee-participation-in-switzerland-advantages-of-phantom-shares-and-participation-certificates</w:t>
        </w:r>
      </w:hyperlink>
    </w:p>
    <w:p>
      <w:pPr>
        <w:spacing w:after="80"/>
      </w:pPr>
      <w:r>
        <w:rPr>
          <w:rFonts w:ascii="Didact Gothic" w:cs="Didact Gothic" w:eastAsia="Didact Gothic" w:hAnsi="Didact Gothic"/>
          <w:b/>
          <w:bCs/>
          <w:color w:val="1A120B"/>
          <w:sz w:val="18"/>
          <w:szCs w:val="18"/>
        </w:rPr>
        <w:t xml:space="preserve">8. Swiss Startup Association — </w:t>
      </w:r>
      <w:r>
        <w:rPr>
          <w:rFonts w:ascii="Didact Gothic" w:cs="Didact Gothic" w:eastAsia="Didact Gothic" w:hAnsi="Didact Gothic"/>
          <w:i/>
          <w:iCs/>
          <w:color w:val="7A6E63"/>
          <w:sz w:val="18"/>
          <w:szCs w:val="18"/>
        </w:rPr>
        <w:t xml:space="preserve">An Overview of ESOP </w:t>
      </w:r>
      <w:hyperlink w:history="1" r:id="rIdj3tihvrb5qphwcr5lscpq">
        <w:r>
          <w:rPr>
            <w:rStyle w:val="Hyperlink"/>
            <w:rFonts w:ascii="Didact Gothic" w:cs="Didact Gothic" w:eastAsia="Didact Gothic" w:hAnsi="Didact Gothic"/>
            <w:sz w:val="18"/>
            <w:szCs w:val="18"/>
          </w:rPr>
          <w:t xml:space="preserve">https://swissstartupassociation.ch/2020/11/20/employee-stock-participation-esop/</w:t>
        </w:r>
      </w:hyperlink>
    </w:p>
    <w:p>
      <w:pPr>
        <w:spacing w:after="80"/>
      </w:pPr>
      <w:r>
        <w:rPr>
          <w:rFonts w:ascii="Didact Gothic" w:cs="Didact Gothic" w:eastAsia="Didact Gothic" w:hAnsi="Didact Gothic"/>
          <w:b/>
          <w:bCs/>
          <w:color w:val="1A120B"/>
          <w:sz w:val="18"/>
          <w:szCs w:val="18"/>
        </w:rPr>
        <w:t xml:space="preserve">9. Ledgy AG (Zurich, Sequoia-backed) — </w:t>
      </w:r>
      <w:r>
        <w:rPr>
          <w:rFonts w:ascii="Didact Gothic" w:cs="Didact Gothic" w:eastAsia="Didact Gothic" w:hAnsi="Didact Gothic"/>
          <w:i/>
          <w:iCs/>
          <w:color w:val="7A6E63"/>
          <w:sz w:val="18"/>
          <w:szCs w:val="18"/>
        </w:rPr>
        <w:t xml:space="preserve">PSOP vs ESOP </w:t>
      </w:r>
      <w:hyperlink w:history="1" r:id="rIdvqvq_xi_jhmjt8tneben0">
        <w:r>
          <w:rPr>
            <w:rStyle w:val="Hyperlink"/>
            <w:rFonts w:ascii="Didact Gothic" w:cs="Didact Gothic" w:eastAsia="Didact Gothic" w:hAnsi="Didact Gothic"/>
            <w:sz w:val="18"/>
            <w:szCs w:val="18"/>
          </w:rPr>
          <w:t xml:space="preserve">https://ledgy.com/blog/esop-vs-psop</w:t>
        </w:r>
      </w:hyperlink>
    </w:p>
    <w:p>
      <w:pPr>
        <w:spacing w:after="80"/>
      </w:pPr>
      <w:r>
        <w:rPr>
          <w:rFonts w:ascii="Didact Gothic" w:cs="Didact Gothic" w:eastAsia="Didact Gothic" w:hAnsi="Didact Gothic"/>
          <w:b/>
          <w:bCs/>
          <w:color w:val="1A120B"/>
          <w:sz w:val="18"/>
          <w:szCs w:val="18"/>
        </w:rPr>
        <w:t xml:space="preserve">10. J.P. Morgan — </w:t>
      </w:r>
      <w:r>
        <w:rPr>
          <w:rFonts w:ascii="Didact Gothic" w:cs="Didact Gothic" w:eastAsia="Didact Gothic" w:hAnsi="Didact Gothic"/>
          <w:i/>
          <w:iCs/>
          <w:color w:val="7A6E63"/>
          <w:sz w:val="18"/>
          <w:szCs w:val="18"/>
        </w:rPr>
        <w:t xml:space="preserve">Understanding Phantom Equity for Startups </w:t>
      </w:r>
      <w:hyperlink w:history="1" r:id="rIdtn7imhaqbqdycq-kl2w_a">
        <w:r>
          <w:rPr>
            <w:rStyle w:val="Hyperlink"/>
            <w:rFonts w:ascii="Didact Gothic" w:cs="Didact Gothic" w:eastAsia="Didact Gothic" w:hAnsi="Didact Gothic"/>
            <w:sz w:val="18"/>
            <w:szCs w:val="18"/>
          </w:rPr>
          <w:t xml:space="preserve">https://www.jpmorgan.com/insights/business-planning/understanding-phantom-equity-and-stock-plans-for-startups</w:t>
        </w:r>
      </w:hyperlink>
    </w:p>
    <w:p>
      <w:pPr>
        <w:spacing w:after="80"/>
      </w:pPr>
      <w:r>
        <w:rPr>
          <w:rFonts w:ascii="Didact Gothic" w:cs="Didact Gothic" w:eastAsia="Didact Gothic" w:hAnsi="Didact Gothic"/>
          <w:b/>
          <w:bCs/>
          <w:color w:val="1A120B"/>
          <w:sz w:val="18"/>
          <w:szCs w:val="18"/>
        </w:rPr>
        <w:t xml:space="preserve">11. Saltox — </w:t>
      </w:r>
      <w:r>
        <w:rPr>
          <w:rFonts w:ascii="Didact Gothic" w:cs="Didact Gothic" w:eastAsia="Didact Gothic" w:hAnsi="Didact Gothic"/>
          <w:i/>
          <w:iCs/>
          <w:color w:val="7A6E63"/>
          <w:sz w:val="18"/>
          <w:szCs w:val="18"/>
        </w:rPr>
        <w:t xml:space="preserve">Phantom Equity: A Guide for Europe </w:t>
      </w:r>
      <w:hyperlink w:history="1" r:id="rIdj-odbrorleledpj4yuaup">
        <w:r>
          <w:rPr>
            <w:rStyle w:val="Hyperlink"/>
            <w:rFonts w:ascii="Didact Gothic" w:cs="Didact Gothic" w:eastAsia="Didact Gothic" w:hAnsi="Didact Gothic"/>
            <w:sz w:val="18"/>
            <w:szCs w:val="18"/>
          </w:rPr>
          <w:t xml:space="preserve">https://www.saltox.co/resources/articles/phantom-equity</w:t>
        </w:r>
      </w:hyperlink>
    </w:p>
    <w:p>
      <w:pPr>
        <w:spacing w:after="80"/>
      </w:pPr>
      <w:r>
        <w:rPr>
          <w:rFonts w:ascii="Didact Gothic" w:cs="Didact Gothic" w:eastAsia="Didact Gothic" w:hAnsi="Didact Gothic"/>
          <w:b/>
          <w:bCs/>
          <w:color w:val="1A120B"/>
          <w:sz w:val="18"/>
          <w:szCs w:val="18"/>
        </w:rPr>
        <w:t xml:space="preserve">12. Harvard Business School — </w:t>
      </w:r>
      <w:r>
        <w:rPr>
          <w:rFonts w:ascii="Didact Gothic" w:cs="Didact Gothic" w:eastAsia="Didact Gothic" w:hAnsi="Didact Gothic"/>
          <w:i/>
          <w:iCs/>
          <w:color w:val="7A6E63"/>
          <w:sz w:val="18"/>
          <w:szCs w:val="18"/>
        </w:rPr>
        <w:t xml:space="preserve">Note on ESOPs and Phantom Stock Plans (Crane &amp; Reinbergs) </w:t>
      </w:r>
      <w:hyperlink w:history="1" r:id="rIdn_fj8pcn5cjq8cqmhnmnw">
        <w:r>
          <w:rPr>
            <w:rStyle w:val="Hyperlink"/>
            <w:rFonts w:ascii="Didact Gothic" w:cs="Didact Gothic" w:eastAsia="Didact Gothic" w:hAnsi="Didact Gothic"/>
            <w:sz w:val="18"/>
            <w:szCs w:val="18"/>
          </w:rPr>
          <w:t xml:space="preserve">https://www.hbs.edu/faculty/Pages/item.aspx?num=27626</w:t>
        </w:r>
      </w:hyperlink>
    </w:p>
    <w:p>
      <w:pPr>
        <w:spacing w:after="80"/>
      </w:pPr>
      <w:r>
        <w:rPr>
          <w:rFonts w:ascii="Didact Gothic" w:cs="Didact Gothic" w:eastAsia="Didact Gothic" w:hAnsi="Didact Gothic"/>
          <w:b/>
          <w:bCs/>
          <w:color w:val="1A120B"/>
          <w:sz w:val="18"/>
          <w:szCs w:val="18"/>
        </w:rPr>
        <w:t xml:space="preserve">13. Gaia Law (Berlin) — </w:t>
      </w:r>
      <w:r>
        <w:rPr>
          <w:rFonts w:ascii="Didact Gothic" w:cs="Didact Gothic" w:eastAsia="Didact Gothic" w:hAnsi="Didact Gothic"/>
          <w:i/>
          <w:iCs/>
          <w:color w:val="7A6E63"/>
          <w:sz w:val="18"/>
          <w:szCs w:val="18"/>
        </w:rPr>
        <w:t xml:space="preserve">ESOPs vs VSOPs in Germany </w:t>
      </w:r>
      <w:hyperlink w:history="1" r:id="rIdkuurlvh3ks4ldlv-w7r5k">
        <w:r>
          <w:rPr>
            <w:rStyle w:val="Hyperlink"/>
            <w:rFonts w:ascii="Didact Gothic" w:cs="Didact Gothic" w:eastAsia="Didact Gothic" w:hAnsi="Didact Gothic"/>
            <w:sz w:val="18"/>
            <w:szCs w:val="18"/>
          </w:rPr>
          <w:t xml:space="preserve">https://www.gaia.law/resources/esopvsvsop</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idact Gothic" w:cs="Didact Gothic" w:eastAsia="Didact Gothic" w:hAnsi="Didact Gothic"/>
        <w:color w:val="7A6E63"/>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idact Gothic" w:cs="Didact Gothic" w:eastAsia="Didact Gothic" w:hAnsi="Didact Gothic"/>
        <w:i/>
        <w:iCs/>
        <w:color w:val="7A6E63"/>
        <w:sz w:val="14"/>
        <w:szCs w:val="14"/>
      </w:rPr>
      <w:t xml:space="preserve">L U M I N A  |  Controproposta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idact Gothic" w:cs="Didact Gothic" w:eastAsia="Didact Gothic" w:hAnsi="Didact Gothic"/>
        <w:color w:val="1A12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ormorant Garamond" w:cs="Cormorant Garamond" w:eastAsia="Cormorant Garamond" w:hAnsi="Cormorant Garamond"/>
      <w:b/>
      <w:bCs/>
      <w:color w:val="8B4A2B"/>
      <w:sz w:val="36"/>
      <w:szCs w:val="36"/>
    </w:rPr>
  </w:style>
  <w:style w:type="paragraph" w:styleId="Heading2">
    <w:name w:val="Heading 2"/>
    <w:basedOn w:val="Normal"/>
    <w:next w:val="Normal"/>
    <w:qFormat/>
    <w:pPr>
      <w:spacing w:after="160" w:before="300"/>
      <w:outlineLvl w:val="1"/>
    </w:pPr>
    <w:rPr>
      <w:rFonts w:ascii="Cormorant Garamond" w:cs="Cormorant Garamond" w:eastAsia="Cormorant Garamond" w:hAnsi="Cormorant Garamond"/>
      <w:b/>
      <w:bCs/>
      <w:color w:val="1A120B"/>
      <w:sz w:val="28"/>
      <w:szCs w:val="28"/>
    </w:rPr>
  </w:style>
  <w:style w:type="paragraph" w:styleId="Heading3">
    <w:name w:val="Heading 3"/>
    <w:basedOn w:val="Normal"/>
    <w:next w:val="Normal"/>
    <w:qFormat/>
    <w:pPr>
      <w:spacing w:after="120" w:before="200"/>
      <w:outlineLvl w:val="2"/>
    </w:pPr>
    <w:rPr>
      <w:rFonts w:ascii="Didact Gothic" w:cs="Didact Gothic" w:eastAsia="Didact Gothic" w:hAnsi="Didact Gothic"/>
      <w:b/>
      <w:bCs/>
      <w:color w:val="8B4A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cc4p_ebusq1xkhpdcv7p" Type="http://schemas.openxmlformats.org/officeDocument/2006/relationships/hyperlink" Target="https://www.mme.ch/en/magazine/articles/phantom-shares-virtual-shareholdings" TargetMode="External"/><Relationship Id="rIdkawdioebkj35nmfrvat_h" Type="http://schemas.openxmlformats.org/officeDocument/2006/relationships/hyperlink" Target="https://www.lexr.com/en-ch/blog/phantom-share-plan-setup-payouts-benefits/" TargetMode="External"/><Relationship Id="rIdcstzhkaskzpn67mpdwqzi" Type="http://schemas.openxmlformats.org/officeDocument/2006/relationships/hyperlink" Target="https://swissstartupassociation.ch/2020/11/20/employee-stock-participation-esop/" TargetMode="External"/><Relationship Id="rId7kmnw8o9p8az8zkemzm47" Type="http://schemas.openxmlformats.org/officeDocument/2006/relationships/hyperlink" Target="https://pestalozzilaw.com/en/insights/news/legal-insights/taxation-employee-equity-incentives-switzerland/" TargetMode="External"/><Relationship Id="rIdnpofqvdwdu3hmpr0jfeqc" Type="http://schemas.openxmlformats.org/officeDocument/2006/relationships/hyperlink" Target="https://www.saltox.co/resources/articles/phantom-equity" TargetMode="External"/><Relationship Id="rIdfwpxpfcb4gnl8os5h3pk9" Type="http://schemas.openxmlformats.org/officeDocument/2006/relationships/hyperlink" Target="https://www.lexr.com/en-ch/blog/phantom-share-plan-setup-payouts-benefits/" TargetMode="External"/><Relationship Id="rIdjzee4y4kz7ybicmh4xz4s" Type="http://schemas.openxmlformats.org/officeDocument/2006/relationships/hyperlink" Target="https://www.mme.ch/en/magazine/articles/phantom-shares-virtual-shareholdings" TargetMode="External"/><Relationship Id="rId6ojlhy91qmkc9a4jkvxa1" Type="http://schemas.openxmlformats.org/officeDocument/2006/relationships/hyperlink" Target="https://pestalozzilaw.com/en/insights/news/legal-insights/taxation-employee-equity-incentives-switzerland/" TargetMode="External"/><Relationship Id="rIdmoeqzmiqs5zqgc0onda4_" Type="http://schemas.openxmlformats.org/officeDocument/2006/relationships/hyperlink" Target="https://www.vischer.com/en/knowledge/blog/employee-participation-part-1-40236/" TargetMode="External"/><Relationship Id="rIdwstlt8vaenzwglrpdnxrr" Type="http://schemas.openxmlformats.org/officeDocument/2006/relationships/hyperlink" Target="https://www.walderwyss.com/assets/content/publications/Employee-share-plans-in-Switzerland-regulatory-overview.pdf" TargetMode="External"/><Relationship Id="rIdylcumryrzx0je817xmav-" Type="http://schemas.openxmlformats.org/officeDocument/2006/relationships/hyperlink" Target="https://www.konsento.ch/en/post/employee-participation-in-switzerland-advantages-of-phantom-shares-and-participation-certificates" TargetMode="External"/><Relationship Id="rIdj3tihvrb5qphwcr5lscpq" Type="http://schemas.openxmlformats.org/officeDocument/2006/relationships/hyperlink" Target="https://swissstartupassociation.ch/2020/11/20/employee-stock-participation-esop/" TargetMode="External"/><Relationship Id="rIdvqvq_xi_jhmjt8tneben0" Type="http://schemas.openxmlformats.org/officeDocument/2006/relationships/hyperlink" Target="https://ledgy.com/blog/esop-vs-psop" TargetMode="External"/><Relationship Id="rIdtn7imhaqbqdycq-kl2w_a" Type="http://schemas.openxmlformats.org/officeDocument/2006/relationships/hyperlink" Target="https://www.jpmorgan.com/insights/business-planning/understanding-phantom-equity-and-stock-plans-for-startups" TargetMode="External"/><Relationship Id="rIdj-odbrorleledpj4yuaup" Type="http://schemas.openxmlformats.org/officeDocument/2006/relationships/hyperlink" Target="https://www.saltox.co/resources/articles/phantom-equity" TargetMode="External"/><Relationship Id="rIdn_fj8pcn5cjq8cqmhnmnw" Type="http://schemas.openxmlformats.org/officeDocument/2006/relationships/hyperlink" Target="https://www.hbs.edu/faculty/Pages/item.aspx?num=27626" TargetMode="External"/><Relationship Id="rIdkuurlvh3ks4ldlv-w7r5k" Type="http://schemas.openxmlformats.org/officeDocument/2006/relationships/hyperlink" Target="https://www.gaia.law/resources/esopvsvsop"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2026-03-29T20:41:46.961Z</dcterms:created>
  <dcterms:modified xsi:type="dcterms:W3CDTF">2026-03-29T20:41:46.961Z</dcterms:modified>
</cp:coreProperties>
</file>

<file path=docProps/custom.xml><?xml version="1.0" encoding="utf-8"?>
<Properties xmlns="http://schemas.openxmlformats.org/officeDocument/2006/custom-properties" xmlns:vt="http://schemas.openxmlformats.org/officeDocument/2006/docPropsVTypes"/>
</file>