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r>
        <w:rPr>
          <w:rFonts w:ascii="Cormorant Garamond" w:cs="Cormorant Garamond" w:eastAsia="Cormorant Garamond" w:hAnsi="Cormorant Garamond"/>
          <w:b/>
          <w:bCs/>
          <w:color w:val="8B4A2B"/>
          <w:sz w:val="60"/>
          <w:szCs w:val="60"/>
        </w:rPr>
        <w:t xml:space="preserve">L U M I N A</w:t>
      </w:r>
    </w:p>
    <w:p>
      <w:pPr>
        <w:spacing w:after="0" w:before="100"/>
      </w:pPr>
    </w:p>
    <w:p>
      <w:pPr>
        <w:pBdr>
          <w:bottom w:val="single" w:color="C9A96E" w:sz="4" w:space="8"/>
        </w:pBdr>
        <w:spacing w:after="300"/>
      </w:pPr>
      <w:r>
        <w:rPr>
          <w:rFonts w:ascii="Cormorant Garamond" w:cs="Cormorant Garamond" w:eastAsia="Cormorant Garamond" w:hAnsi="Cormorant Garamond"/>
          <w:color w:val="1A120B"/>
          <w:sz w:val="40"/>
          <w:szCs w:val="40"/>
        </w:rPr>
        <w:t xml:space="preserve">Controproposta e Framework Operativo</w:t>
      </w:r>
    </w:p>
    <w:p>
      <w:r>
        <w:rPr>
          <w:rFonts w:ascii="Didact Gothic" w:cs="Didact Gothic" w:eastAsia="Didact Gothic" w:hAnsi="Didact Gothic"/>
          <w:color w:val="7A6E63"/>
          <w:sz w:val="22"/>
          <w:szCs w:val="22"/>
        </w:rPr>
        <w:t xml:space="preserve">Risposta alla Proposta Operativa del 29 Marzo 2026</w:t>
      </w:r>
    </w:p>
    <w:p>
      <w:pPr>
        <w:spacing w:after="0" w:before="1600"/>
      </w:pPr>
    </w:p>
    <w:p>
      <w:r>
        <w:rPr>
          <w:rFonts w:ascii="Cormorant Garamond" w:cs="Cormorant Garamond" w:eastAsia="Cormorant Garamond" w:hAnsi="Cormorant Garamond"/>
          <w:b/>
          <w:bCs/>
          <w:color w:val="1A120B"/>
          <w:sz w:val="24"/>
          <w:szCs w:val="24"/>
        </w:rPr>
        <w:t xml:space="preserve">Marco Di Cesare</w:t>
      </w:r>
    </w:p>
    <w:p>
      <w:r>
        <w:rPr>
          <w:rFonts w:ascii="Didact Gothic" w:cs="Didact Gothic" w:eastAsia="Didact Gothic" w:hAnsi="Didact Gothic"/>
          <w:color w:val="7A6E63"/>
          <w:sz w:val="18"/>
          <w:szCs w:val="18"/>
        </w:rPr>
        <w:t xml:space="preserve">Marzo 2026  |  Confidenziale</w:t>
      </w:r>
    </w:p>
    <w:p>
      <w:pPr>
        <w:sectPr>
          <w:pgSz w:w="11906" w:h="16838" w:orient="portrait"/>
          <w:pgMar w:top="2880" w:right="1440" w:bottom="1440" w:left="1440" w:header="708" w:footer="708" w:gutter="0"/>
          <w:pgNumType/>
          <w:docGrid w:linePitch="360"/>
        </w:sectPr>
      </w:pPr>
    </w:p>
    <w:p>
      <w:pPr>
        <w:pStyle w:val="Heading1"/>
      </w:pPr>
      <w:r>
        <w:t xml:space="preserve">1. In sintesi</w:t>
      </w:r>
    </w:p>
    <w:p>
      <w:pPr>
        <w:spacing w:after="180"/>
      </w:pPr>
      <w:r>
        <w:rPr>
          <w:rFonts w:ascii="Didact Gothic" w:cs="Didact Gothic" w:eastAsia="Didact Gothic" w:hAnsi="Didact Gothic"/>
          <w:i w:val="false"/>
          <w:iCs w:val="false"/>
          <w:color w:val="1A120B"/>
          <w:sz w:val="22"/>
          <w:szCs w:val="22"/>
        </w:rPr>
        <w:t xml:space="preserve">Ho letto tutto con attenzione e ho messo giu' una controproposta sulla struttura. L'idea di fondo e' semplice: se spostiamo il pool dipendenti fuori dal cap table con un Phantom Share Plan (Sezione 4), il cap table diventa 80/20 invece di 75/15/10. Voi avete piu' di prima, io ho piu' di prima, e i dipendenti hanno comunque il loro upside economico. Qui sotto c'e' il confronto completo.</w:t>
      </w:r>
    </w:p>
    <w:p>
      <w:pPr>
        <w:spacing w:after="0" w:before="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Tema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Vostra proposta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Mia controproposta</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Equity base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Fino al 15%</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20% azioni reali</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Kicker exit</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Da definire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25% a 30M / 30% a 50M / 35% a 100M+</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Vesting</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Performance score soggettivo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KPI oggettivi (hotel, ARR)</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Stipendio Y1</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 (uguale)</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Crescita stipendio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Step-up automatici</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Pool dipendenti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 equity reale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5% Phantom Share Plan</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75% / 15% / 10%</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80% / 20%</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Board</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3 persone, 2/3 per le decisioni</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Anti-diluizione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Concordato in principio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Pro-rata + floor 15%</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Protezioni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Drag-along, tag-along, deadlock</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Forma societaria</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AG, non GmbH (Sezione 6)</w:t>
            </w:r>
          </w:p>
        </w:tc>
      </w:tr>
    </w:tbl>
    <w:p>
      <w:pPr>
        <w:spacing w:after="0" w:before="180"/>
      </w:pPr>
    </w:p>
    <w:p>
      <w:pPr>
        <w:spacing w:after="180"/>
      </w:pPr>
      <w:r>
        <w:rPr>
          <w:rFonts w:ascii="Didact Gothic" w:cs="Didact Gothic" w:eastAsia="Didact Gothic" w:hAnsi="Didact Gothic"/>
          <w:i w:val="false"/>
          <w:iCs w:val="false"/>
          <w:color w:val="1A120B"/>
          <w:sz w:val="22"/>
          <w:szCs w:val="22"/>
        </w:rPr>
        <w:t xml:space="preserve">Sotto c'e' tutto spiegato punto per punto.</w:t>
      </w:r>
    </w:p>
    <w:p>
      <w:pPr>
        <w:pStyle w:val="Heading1"/>
      </w:pPr>
      <w:r>
        <w:t xml:space="preserve">2. Equity</w:t>
      </w:r>
    </w:p>
    <w:p>
      <w:pPr>
        <w:pStyle w:val="Heading2"/>
      </w:pPr>
      <w:r>
        <w:t xml:space="preserve">Base: 20%, con kicker a scalini</w:t>
      </w:r>
    </w:p>
    <w:p>
      <w:pPr>
        <w:spacing w:after="180"/>
      </w:pPr>
      <w:r>
        <w:rPr>
          <w:rFonts w:ascii="Didact Gothic" w:cs="Didact Gothic" w:eastAsia="Didact Gothic" w:hAnsi="Didact Gothic"/>
          <w:i w:val="false"/>
          <w:iCs w:val="false"/>
          <w:color w:val="1A120B"/>
          <w:sz w:val="22"/>
          <w:szCs w:val="22"/>
        </w:rPr>
        <w:t xml:space="preserve">La proposta prevede fino al 15% (pool 25% con peso operativo al 60%). Propongo di portare il peso all'80%, per un totale del 20%.</w:t>
      </w:r>
    </w:p>
    <w:p>
      <w:pPr>
        <w:spacing w:after="180"/>
      </w:pPr>
      <w:r>
        <w:rPr>
          <w:rFonts w:ascii="Didact Gothic" w:cs="Didact Gothic" w:eastAsia="Didact Gothic" w:hAnsi="Didact Gothic"/>
          <w:i w:val="false"/>
          <w:iCs w:val="false"/>
          <w:color w:val="1A120B"/>
          <w:sz w:val="22"/>
          <w:szCs w:val="22"/>
        </w:rPr>
        <w:t xml:space="preserve">Il ragionamento e' semplice: sono l'unica persona full-time. Amedeo e Marco Corsaro portano capitale, relazioni e visione strategica, e questo conta tantissimo. Ma il prodotto, i clienti, il team, le operazioni di tutti i giorni passano da una persona sola. Il 20% riflette quel peso.</w:t>
      </w:r>
    </w:p>
    <w:p>
      <w:pPr>
        <w:spacing w:after="180"/>
      </w:pPr>
      <w:r>
        <w:rPr>
          <w:rFonts w:ascii="Didact Gothic" w:cs="Didact Gothic" w:eastAsia="Didact Gothic" w:hAnsi="Didact Gothic"/>
          <w:i w:val="false"/>
          <w:iCs w:val="false"/>
          <w:color w:val="1A120B"/>
          <w:sz w:val="22"/>
          <w:szCs w:val="22"/>
        </w:rPr>
        <w:t xml:space="preserve">Per voi il costo reale e' zero, perche' con il Phantom Share Plan il vostro 80% e' vero 80% sul cap table, contro il 75% della struttura attuale con l'ESOP, quindi in pratica ci guadagnate anche voi.</w:t>
      </w:r>
    </w:p>
    <w:p>
      <w:pPr>
        <w:pStyle w:val="Heading2"/>
      </w:pPr>
      <w:r>
        <w:t xml:space="preserve">Kicker a scalini</w:t>
      </w:r>
    </w:p>
    <w:p>
      <w:pPr>
        <w:spacing w:after="180"/>
      </w:pPr>
      <w:r>
        <w:rPr>
          <w:rFonts w:ascii="Didact Gothic" w:cs="Didact Gothic" w:eastAsia="Didact Gothic" w:hAnsi="Didact Gothic"/>
          <w:i w:val="false"/>
          <w:iCs w:val="false"/>
          <w:color w:val="1A120B"/>
          <w:sz w:val="22"/>
          <w:szCs w:val="22"/>
        </w:rPr>
        <w:t xml:space="preserve">Ne abbiamo parlato nella call: ci vuole un meccanismo che premi i risultati oltre le aspettative. La mia proposta e' un kicker a scalini legato alla valutazione all'exit: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26"/>
      </w:tblGrid>
      <w:tr>
        <w:tc>
          <w:tcPr>
            <w:tcW w:type="dxa" w:w="27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Valutazione exit</w:t>
            </w:r>
          </w:p>
        </w:tc>
        <w:tc>
          <w:tcPr>
            <w:tcW w:type="dxa" w:w="21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Mia quota</w:t>
            </w:r>
          </w:p>
        </w:tc>
        <w:tc>
          <w:tcPr>
            <w:tcW w:type="dxa" w:w="21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Vostra quota</w:t>
            </w:r>
          </w:p>
        </w:tc>
        <w:tc>
          <w:tcPr>
            <w:tcW w:type="dxa" w:w="21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Nota</w:t>
            </w:r>
          </w:p>
        </w:tc>
      </w:tr>
      <w:tr>
        <w:tc>
          <w:tcPr>
            <w:tcW w:type="dxa" w:w="27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Sotto EUR 30M</w:t>
            </w:r>
          </w:p>
        </w:tc>
        <w:tc>
          <w:tcPr>
            <w:tcW w:type="dxa" w:w="21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20%</w:t>
            </w:r>
          </w:p>
        </w:tc>
        <w:tc>
          <w:tcPr>
            <w:tcW w:type="dxa" w:w="21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80%</w:t>
            </w:r>
          </w:p>
        </w:tc>
        <w:tc>
          <w:tcPr>
            <w:tcW w:type="dxa" w:w="21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Base</w:t>
            </w:r>
          </w:p>
        </w:tc>
      </w:tr>
      <w:tr>
        <w:tc>
          <w:tcPr>
            <w:tcW w:type="dxa" w:w="27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EUR 30M+</w:t>
            </w:r>
          </w:p>
        </w:tc>
        <w:tc>
          <w:tcPr>
            <w:tcW w:type="dxa" w:w="21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25%</w:t>
            </w:r>
          </w:p>
        </w:tc>
        <w:tc>
          <w:tcPr>
            <w:tcW w:type="dxa" w:w="21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75%</w:t>
            </w:r>
          </w:p>
        </w:tc>
        <w:tc>
          <w:tcPr>
            <w:tcW w:type="dxa" w:w="21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 la vostra proposta originale</w:t>
            </w:r>
          </w:p>
        </w:tc>
      </w:tr>
      <w:tr>
        <w:tc>
          <w:tcPr>
            <w:tcW w:type="dxa" w:w="27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EUR 50M+</w:t>
            </w:r>
          </w:p>
        </w:tc>
        <w:tc>
          <w:tcPr>
            <w:tcW w:type="dxa" w:w="21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30%</w:t>
            </w:r>
          </w:p>
        </w:tc>
        <w:tc>
          <w:tcPr>
            <w:tcW w:type="dxa" w:w="21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70%</w:t>
            </w:r>
          </w:p>
        </w:tc>
        <w:tc>
          <w:tcPr>
            <w:tcW w:type="dxa" w:w="21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A+MC: EUR 33M+</w:t>
            </w:r>
          </w:p>
        </w:tc>
      </w:tr>
      <w:tr>
        <w:tc>
          <w:tcPr>
            <w:tcW w:type="dxa" w:w="27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EUR 100M+</w:t>
            </w:r>
          </w:p>
        </w:tc>
        <w:tc>
          <w:tcPr>
            <w:tcW w:type="dxa" w:w="21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35%</w:t>
            </w:r>
          </w:p>
        </w:tc>
        <w:tc>
          <w:tcPr>
            <w:tcW w:type="dxa" w:w="21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65%</w:t>
            </w:r>
          </w:p>
        </w:tc>
        <w:tc>
          <w:tcPr>
            <w:tcW w:type="dxa" w:w="21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A+MC: EUR 62M+</w:t>
            </w:r>
          </w:p>
        </w:tc>
      </w:tr>
    </w:tbl>
    <w:p>
      <w:pPr>
        <w:spacing w:after="0" w:before="140"/>
      </w:pPr>
    </w:p>
    <w:p>
      <w:pPr>
        <w:spacing w:after="180"/>
      </w:pPr>
      <w:r>
        <w:rPr>
          <w:rFonts w:ascii="Didact Gothic" w:cs="Didact Gothic" w:eastAsia="Didact Gothic" w:hAnsi="Didact Gothic"/>
          <w:i w:val="false"/>
          <w:iCs w:val="false"/>
          <w:color w:val="1A120B"/>
          <w:sz w:val="22"/>
          <w:szCs w:val="22"/>
        </w:rPr>
        <w:t xml:space="preserve">Il primo scalino vi riporta esattamente al 75% che avevate proposto voi, solo che scatta a EUR 30M di valutazione. Sotto quella soglia, avete l'80%. Ogni scalino successivo si attiva solo quando tutti stanno incassando cifre importanti: a EUR 100M, anche con il 65%, portate a casa oltre EUR 62M.</w:t>
      </w:r>
    </w:p>
    <w:p>
      <w:pPr>
        <w:spacing w:after="180"/>
      </w:pPr>
      <w:r>
        <w:rPr>
          <w:rFonts w:ascii="Didact Gothic" w:cs="Didact Gothic" w:eastAsia="Didact Gothic" w:hAnsi="Didact Gothic"/>
          <w:i w:val="false"/>
          <w:iCs w:val="false"/>
          <w:color w:val="1A120B"/>
          <w:sz w:val="22"/>
          <w:szCs w:val="22"/>
        </w:rPr>
        <w:t xml:space="preserve">Se l'exit e' sotto EUR 30M il kicker non si applica e il vostro 80% resta com'e'.</w:t>
      </w:r>
    </w:p>
    <w:p>
      <w:pPr>
        <w:pStyle w:val="Heading1"/>
      </w:pPr>
      <w:r>
        <w:t xml:space="preserve">3. Vesting, stipendio, protezioni</w:t>
      </w:r>
    </w:p>
    <w:p>
      <w:pPr>
        <w:pStyle w:val="Heading2"/>
      </w:pPr>
      <w:r>
        <w:t xml:space="preserve">Vesting con milestone oggettivi</w:t>
      </w:r>
    </w:p>
    <w:p>
      <w:pPr>
        <w:spacing w:after="180"/>
      </w:pPr>
      <w:r>
        <w:rPr>
          <w:rFonts w:ascii="Didact Gothic" w:cs="Didact Gothic" w:eastAsia="Didact Gothic" w:hAnsi="Didact Gothic"/>
          <w:i w:val="false"/>
          <w:iCs w:val="false"/>
          <w:color w:val="1A120B"/>
          <w:sz w:val="22"/>
          <w:szCs w:val="22"/>
        </w:rPr>
        <w:t xml:space="preserve">La proposta lega il vesting a un performance score valutato dai fondatori. Preferisco numeri che possiamo contare tutti senza ambiguita'.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63"/>
        <w:gridCol w:w="2863"/>
      </w:tblGrid>
      <w:tr>
        <w:tc>
          <w:tcPr>
            <w:tcW w:type="dxa" w:w="1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Quando</w:t>
            </w:r>
          </w:p>
        </w:tc>
        <w:tc>
          <w:tcPr>
            <w:tcW w:type="dxa" w:w="1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Tranche</w:t>
            </w:r>
          </w:p>
        </w:tc>
        <w:tc>
          <w:tcPr>
            <w:tcW w:type="dxa" w:w="28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Condizione</w:t>
            </w:r>
          </w:p>
        </w:tc>
        <w:tc>
          <w:tcPr>
            <w:tcW w:type="dxa" w:w="28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vs. Business Plan</w:t>
            </w:r>
          </w:p>
        </w:tc>
      </w:tr>
      <w:tr>
        <w:tc>
          <w:tcPr>
            <w:tcW w:type="dxa" w:w="1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Mese 12 (cliff)</w:t>
            </w:r>
          </w:p>
        </w:tc>
        <w:tc>
          <w:tcPr>
            <w:tcW w:type="dxa" w:w="1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7%</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15+ hotel paganti</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41 a M12</w:t>
            </w:r>
          </w:p>
        </w:tc>
      </w:tr>
      <w:tr>
        <w:tc>
          <w:tcPr>
            <w:tcW w:type="dxa" w:w="1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Mese 24</w:t>
            </w:r>
          </w:p>
        </w:tc>
        <w:tc>
          <w:tcPr>
            <w:tcW w:type="dxa" w:w="1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7%</w:t>
            </w:r>
          </w:p>
        </w:tc>
        <w:tc>
          <w:tcPr>
            <w:tcW w:type="dxa" w:w="28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ARR &gt;= EUR 500K</w:t>
            </w:r>
          </w:p>
        </w:tc>
        <w:tc>
          <w:tcPr>
            <w:tcW w:type="dxa" w:w="28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EUR 1.3M a M24</w:t>
            </w:r>
          </w:p>
        </w:tc>
      </w:tr>
      <w:tr>
        <w:tc>
          <w:tcPr>
            <w:tcW w:type="dxa" w:w="1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Mese 36</w:t>
            </w:r>
          </w:p>
        </w:tc>
        <w:tc>
          <w:tcPr>
            <w:tcW w:type="dxa" w:w="1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6%</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ARR &gt;= EUR 1.5M</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EUR 2.7M a M36</w:t>
            </w:r>
          </w:p>
        </w:tc>
      </w:tr>
    </w:tbl>
    <w:p>
      <w:pPr>
        <w:spacing w:after="0" w:before="140"/>
      </w:pPr>
    </w:p>
    <w:p>
      <w:pPr>
        <w:spacing w:after="180"/>
      </w:pPr>
      <w:r>
        <w:rPr>
          <w:rFonts w:ascii="Didact Gothic" w:cs="Didact Gothic" w:eastAsia="Didact Gothic" w:hAnsi="Didact Gothic"/>
          <w:i w:val="false"/>
          <w:iCs w:val="false"/>
          <w:color w:val="1A120B"/>
          <w:sz w:val="22"/>
          <w:szCs w:val="22"/>
        </w:rPr>
        <w:t xml:space="preserve">Ho messo i target ben sotto le proiezioni del business plan apposta, cosi' se il business va anche solo vicino al piano faccio "vest" su tutto, e se non va non faccio "vest".</w:t>
      </w:r>
    </w:p>
    <w:p>
      <w:pPr>
        <w:pStyle w:val="Heading2"/>
      </w:pPr>
      <w:r>
        <w:t xml:space="preserve">Good leaver e bad leaver</w:t>
      </w:r>
    </w:p>
    <w:p>
      <w:pPr>
        <w:spacing w:after="180"/>
      </w:pPr>
      <w:r>
        <w:rPr>
          <w:rFonts w:ascii="Didact Gothic" w:cs="Didact Gothic" w:eastAsia="Didact Gothic" w:hAnsi="Didact Gothic"/>
          <w:b/>
          <w:bCs/>
          <w:color w:val="1A120B"/>
          <w:sz w:val="22"/>
          <w:szCs w:val="22"/>
        </w:rPr>
        <w:t xml:space="preserve">Good leaver: </w:t>
      </w:r>
      <w:r>
        <w:rPr>
          <w:rFonts w:ascii="Didact Gothic" w:cs="Didact Gothic" w:eastAsia="Didact Gothic" w:hAnsi="Didact Gothic"/>
          <w:i w:val="false"/>
          <w:iCs w:val="false"/>
          <w:color w:val="1A120B"/>
          <w:sz w:val="22"/>
          <w:szCs w:val="22"/>
        </w:rPr>
        <w:t xml:space="preserve">Se lascio o vengo mandato via senza giusta causa dopo il cliff, tengo tutto quello che e' "vested", a fair market value.</w:t>
      </w:r>
    </w:p>
    <w:p>
      <w:pPr>
        <w:spacing w:after="180"/>
      </w:pPr>
      <w:r>
        <w:rPr>
          <w:rFonts w:ascii="Didact Gothic" w:cs="Didact Gothic" w:eastAsia="Didact Gothic" w:hAnsi="Didact Gothic"/>
          <w:b/>
          <w:bCs/>
          <w:color w:val="1A120B"/>
          <w:sz w:val="22"/>
          <w:szCs w:val="22"/>
        </w:rPr>
        <w:t xml:space="preserve">Bad leaver: </w:t>
      </w:r>
      <w:r>
        <w:rPr>
          <w:rFonts w:ascii="Didact Gothic" w:cs="Didact Gothic" w:eastAsia="Didact Gothic" w:hAnsi="Didact Gothic"/>
          <w:i w:val="false"/>
          <w:iCs w:val="false"/>
          <w:color w:val="1A120B"/>
          <w:sz w:val="22"/>
          <w:szCs w:val="22"/>
        </w:rPr>
        <w:t xml:space="preserve">Tre trigger: frode, condanna penale, violazione grave dei doveri fiduciari. I milestone di vesting gia' gestiscono la performance, e se non raggiungo i numeri le azioni non fanno "vest", quindi non serve aggiungere un altro livello soggettivo.</w:t>
      </w:r>
    </w:p>
    <w:p>
      <w:pPr>
        <w:pStyle w:val="Heading2"/>
      </w:pPr>
      <w:r>
        <w:t xml:space="preserve">Accelerazione in caso di exit</w:t>
      </w:r>
    </w:p>
    <w:p>
      <w:pPr>
        <w:spacing w:after="180"/>
      </w:pPr>
      <w:r>
        <w:rPr>
          <w:rFonts w:ascii="Didact Gothic" w:cs="Didact Gothic" w:eastAsia="Didact Gothic" w:hAnsi="Didact Gothic"/>
          <w:i w:val="false"/>
          <w:iCs w:val="false"/>
          <w:color w:val="1A120B"/>
          <w:sz w:val="22"/>
          <w:szCs w:val="22"/>
        </w:rPr>
        <w:t xml:space="preserve">Se arriva una vendita, fusione o IPO prima dei 36 mesi, tutte le azioni non ancora "vested" lo diventano subito. Ne abbiamo gia' parlato, mi piacerebbe metterlo nero su bianco.</w:t>
      </w:r>
    </w:p>
    <w:p>
      <w:pPr>
        <w:pStyle w:val="Heading2"/>
      </w:pPr>
      <w:r>
        <w:t xml:space="preserve">Stipendio</w:t>
      </w:r>
    </w:p>
    <w:p>
      <w:pPr>
        <w:spacing w:after="180"/>
      </w:pPr>
      <w:r>
        <w:rPr>
          <w:rFonts w:ascii="Didact Gothic" w:cs="Didact Gothic" w:eastAsia="Didact Gothic" w:hAnsi="Didact Gothic"/>
          <w:i w:val="false"/>
          <w:iCs w:val="false"/>
          <w:color w:val="1A120B"/>
          <w:sz w:val="22"/>
          <w:szCs w:val="22"/>
        </w:rPr>
        <w:t xml:space="preserve">Accetto CHF 106K come punto di partenza. E' sotto mercato e va bene cosi', perche' ci credo. Quello che propongo e' che lo stipendio cresca con l'azienda, in automatico, con trigger scritti nell'accordo tra soci. Sono tutti legati ad ARR perche' e' il numero piu' facile da misurare e il piu' difficile da contestare.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Trigger</w:t>
            </w:r>
          </w:p>
        </w:tc>
        <w:tc>
          <w:tcPr>
            <w:tcW w:type="dxa" w:w="27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Stipendio</w:t>
            </w:r>
          </w:p>
        </w:tc>
        <w:tc>
          <w:tcPr>
            <w:tcW w:type="dxa" w:w="27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Aumento</w:t>
            </w:r>
          </w:p>
        </w:tc>
      </w:tr>
      <w:tr>
        <w:tc>
          <w:tcPr>
            <w:tcW w:type="dxa" w:w="3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Giorno 1</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Sotto mercato, skin in the game</w:t>
            </w:r>
          </w:p>
        </w:tc>
      </w:tr>
      <w:tr>
        <w:tc>
          <w:tcPr>
            <w:tcW w:type="dxa" w:w="3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ARR &gt;= EUR 300K (circa 25 hotel)</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150K</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+44K, l'azienda ha revenue reale</w:t>
            </w:r>
          </w:p>
        </w:tc>
      </w:tr>
      <w:tr>
        <w:tc>
          <w:tcPr>
            <w:tcW w:type="dxa" w:w="3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ARR &gt;= EUR 1.5M</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185K</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+35K, traction seria</w:t>
            </w:r>
          </w:p>
        </w:tc>
      </w:tr>
      <w:tr>
        <w:tc>
          <w:tcPr>
            <w:tcW w:type="dxa" w:w="3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Series A o ARR &gt;= EUR 3M</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220K (mercato)</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+35K, si normalizza</w:t>
            </w:r>
          </w:p>
        </w:tc>
      </w:tr>
    </w:tbl>
    <w:p>
      <w:pPr>
        <w:spacing w:after="0" w:before="140"/>
      </w:pPr>
    </w:p>
    <w:p>
      <w:pPr>
        <w:spacing w:after="180"/>
      </w:pPr>
      <w:r>
        <w:rPr>
          <w:rFonts w:ascii="Didact Gothic" w:cs="Didact Gothic" w:eastAsia="Didact Gothic" w:hAnsi="Didact Gothic"/>
          <w:i w:val="false"/>
          <w:iCs w:val="false"/>
          <w:color w:val="1A120B"/>
          <w:sz w:val="22"/>
          <w:szCs w:val="22"/>
        </w:rPr>
        <w:t xml:space="preserve">Perche' metterlo nell'accordo tra soci: ho il 20%, non ho la maggioranza. Senza un automatismo scritto, ogni aumento di stipendio diventa una richiesta al board. Cosi' e' tutto chiaro dall'inizio e nessuno deve avere quella conversazione.</w:t>
      </w:r>
    </w:p>
    <w:p>
      <w:pPr>
        <w:pStyle w:val="Heading1"/>
      </w:pPr>
      <w:r>
        <w:t xml:space="preserve">4. Phantom Share Plan per i dipendenti</w:t>
      </w:r>
    </w:p>
    <w:p>
      <w:pPr>
        <w:spacing w:after="180"/>
      </w:pPr>
      <w:r>
        <w:rPr>
          <w:rFonts w:ascii="Didact Gothic" w:cs="Didact Gothic" w:eastAsia="Didact Gothic" w:hAnsi="Didact Gothic"/>
          <w:i w:val="false"/>
          <w:iCs w:val="false"/>
          <w:color w:val="1A120B"/>
          <w:sz w:val="22"/>
          <w:szCs w:val="22"/>
        </w:rPr>
        <w:t xml:space="preserve">La proposta prevede il 10% del cap table per i dipendenti come equity reale. Propongo una strada diversa: un pool del 5% come Phantom Share Plan. Conviene a tutti perche' libera spazio sul cap table senza togliere nulla ai dipendenti in termini di upside economico.</w:t>
      </w:r>
    </w:p>
    <w:p>
      <w:pPr>
        <w:pStyle w:val="Heading2"/>
      </w:pPr>
      <w:r>
        <w:t xml:space="preserve">Come funziona</w:t>
      </w:r>
    </w:p>
    <w:p>
      <w:pPr>
        <w:spacing w:after="180"/>
      </w:pPr>
      <w:r>
        <w:rPr>
          <w:rFonts w:ascii="Didact Gothic" w:cs="Didact Gothic" w:eastAsia="Didact Gothic" w:hAnsi="Didact Gothic"/>
          <w:i w:val="false"/>
          <w:iCs w:val="false"/>
          <w:color w:val="1A120B"/>
          <w:sz w:val="22"/>
          <w:szCs w:val="22"/>
        </w:rPr>
        <w:t xml:space="preserve">Il phantom share e' un contratto che da' al dipendente un payout in contanti legato al valore dell'azienda all'exit. Funziona come un'azione dal punto di vista economico, ma senza comparire sul cap table, senza diritti di voto, e senza bisogno di aumenti di capitale per assegnarlo.</w:t>
      </w:r>
    </w:p>
    <w:p>
      <w:pPr>
        <w:spacing w:after="80"/>
      </w:pPr>
      <w:r>
        <w:rPr>
          <w:rFonts w:ascii="Didact Gothic" w:cs="Didact Gothic" w:eastAsia="Didact Gothic" w:hAnsi="Didact Gothic"/>
          <w:i/>
          <w:iCs/>
          <w:color w:val="7A6E63"/>
          <w:sz w:val="18"/>
          <w:szCs w:val="18"/>
        </w:rPr>
        <w:t xml:space="preserve">MME Legal (Zurigo): "Una partecipazione virtuale che rispecchia il valore di un'azione e mette il beneficiario sullo stesso piano di un azionista in termini di diritti economici." </w:t>
      </w:r>
      <w:hyperlink w:history="1" r:id="rIdc26hzvlgdzwarb4m2grnm">
        <w:r>
          <w:rPr>
            <w:rStyle w:val="Hyperlink"/>
            <w:rFonts w:ascii="Didact Gothic" w:cs="Didact Gothic" w:eastAsia="Didact Gothic" w:hAnsi="Didact Gothic"/>
            <w:sz w:val="18"/>
            <w:szCs w:val="18"/>
          </w:rPr>
          <w:t xml:space="preserve">Fonte</w:t>
        </w:r>
      </w:hyperlink>
    </w:p>
    <w:p>
      <w:pPr>
        <w:spacing w:after="80"/>
      </w:pPr>
      <w:r>
        <w:rPr>
          <w:rFonts w:ascii="Didact Gothic" w:cs="Didact Gothic" w:eastAsia="Didact Gothic" w:hAnsi="Didact Gothic"/>
          <w:i/>
          <w:iCs/>
          <w:color w:val="7A6E63"/>
          <w:sz w:val="18"/>
          <w:szCs w:val="18"/>
        </w:rPr>
        <w:t xml:space="preserve">LEXR (Zurigo): "I partecipanti al PSOP non diventano azionisti. Ricevono un diritto contrattuale a un pagamento in contanti al verificarsi di determinati eventi trigger." </w:t>
      </w:r>
      <w:hyperlink w:history="1" r:id="rIdzccszvvgt700pvhrnmzxh">
        <w:r>
          <w:rPr>
            <w:rStyle w:val="Hyperlink"/>
            <w:rFonts w:ascii="Didact Gothic" w:cs="Didact Gothic" w:eastAsia="Didact Gothic" w:hAnsi="Didact Gothic"/>
            <w:sz w:val="18"/>
            <w:szCs w:val="18"/>
          </w:rPr>
          <w:t xml:space="preserve">Fonte</w:t>
        </w:r>
      </w:hyperlink>
    </w:p>
    <w:p>
      <w:pPr>
        <w:pStyle w:val="Heading2"/>
      </w:pPr>
      <w:r>
        <w:t xml:space="preserve">Perche' conviene a tutti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ESOP (azioni reali)</w:t>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PSOP (phantom)</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Diluisce tutti</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Zero diluizione</w:t>
            </w:r>
          </w:p>
        </w:tc>
      </w:tr>
      <w:tr>
        <w:tc>
          <w:tcPr>
            <w:tcW w:type="dxa" w:w="24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Implementazione</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Aumento capitale, notaio, Assemblea</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Delibera CdA + contratto</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Nuova assunzione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Processo formale ogni volta</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Un contratto, dieci minuti</w:t>
            </w:r>
          </w:p>
        </w:tc>
      </w:tr>
      <w:tr>
        <w:tc>
          <w:tcPr>
            <w:tcW w:type="dxa" w:w="24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Vista investitori</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Tanti piccoli azionisti</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3 nomi sul cap table</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Fisco per il dipendente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Possibile tassazione al grant</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Zero tasse fino al payout</w:t>
            </w:r>
          </w:p>
        </w:tc>
      </w:tr>
    </w:tbl>
    <w:p>
      <w:pPr>
        <w:spacing w:after="0" w:before="140"/>
      </w:pPr>
    </w:p>
    <w:p>
      <w:pPr>
        <w:pStyle w:val="Heading2"/>
      </w:pPr>
      <w:r>
        <w:t xml:space="preserve">Confronto cap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Azionista</w:t>
            </w:r>
          </w:p>
        </w:tc>
        <w:tc>
          <w:tcPr>
            <w:tcW w:type="dxa" w:w="27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Con 5% PSOP</w:t>
            </w:r>
          </w:p>
        </w:tc>
        <w:tc>
          <w:tcPr>
            <w:tcW w:type="dxa" w:w="27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Con 10% ESOP</w:t>
            </w:r>
          </w:p>
        </w:tc>
      </w:tr>
      <w:tr>
        <w:tc>
          <w:tcPr>
            <w:tcW w:type="dxa" w:w="36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Amedeo + Marco Corsaro</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80%</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75%</w:t>
            </w:r>
          </w:p>
        </w:tc>
      </w:tr>
      <w:tr>
        <w:tc>
          <w:tcPr>
            <w:tcW w:type="dxa" w:w="36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Marco Di Cesare</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20%</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15%</w:t>
            </w:r>
          </w:p>
        </w:tc>
      </w:tr>
      <w:tr>
        <w:tc>
          <w:tcPr>
            <w:tcW w:type="dxa" w:w="36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Dipendenti su cap table</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0%</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w:t>
            </w:r>
          </w:p>
        </w:tc>
      </w:tr>
      <w:tr>
        <w:tc>
          <w:tcPr>
            <w:tcW w:type="dxa" w:w="36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Upside economico dipendenti</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5% (dal prezzo di exit)</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 (azioni reali)</w:t>
            </w:r>
          </w:p>
        </w:tc>
      </w:tr>
    </w:tbl>
    <w:p>
      <w:pPr>
        <w:spacing w:after="0" w:before="140"/>
      </w:pPr>
    </w:p>
    <w:p>
      <w:pPr>
        <w:spacing w:after="180"/>
      </w:pPr>
      <w:r>
        <w:rPr>
          <w:rFonts w:ascii="Didact Gothic" w:cs="Didact Gothic" w:eastAsia="Didact Gothic" w:hAnsi="Didact Gothic"/>
          <w:i w:val="false"/>
          <w:iCs w:val="false"/>
          <w:color w:val="1A120B"/>
          <w:sz w:val="22"/>
          <w:szCs w:val="22"/>
        </w:rPr>
        <w:t xml:space="preserve">La vostra proposta divide il cap table 75/15/10. La mia lo divide 80/20, con il pool dipendenti fuori dal cap table come impegno contrattuale. Voi passate dal 75% all'80%. Io dal 15% al 20%. I dipendenti hanno comunque il loro upside economico, pagato dai proventi dell'exit in proporzione.</w:t>
      </w:r>
    </w:p>
    <w:p>
      <w:pPr>
        <w:pStyle w:val="Heading2"/>
      </w:pPr>
      <w:r>
        <w:t xml:space="preserve">Perche' il 5% e non il 10%</w:t>
      </w:r>
    </w:p>
    <w:p>
      <w:pPr>
        <w:spacing w:after="180"/>
      </w:pPr>
      <w:r>
        <w:rPr>
          <w:rFonts w:ascii="Didact Gothic" w:cs="Didact Gothic" w:eastAsia="Didact Gothic" w:hAnsi="Didact Gothic"/>
          <w:color w:val="1A120B"/>
          <w:sz w:val="22"/>
          <w:szCs w:val="22"/>
        </w:rPr>
        <w:t xml:space="preserve">La Swiss Startup Association dice che il 10% e' lo standard, ma per aziende con 15-20 persone. </w:t>
      </w:r>
      <w:hyperlink w:history="1" r:id="rId9nkwe3qut6jwyshtcihft">
        <w:r>
          <w:rPr>
            <w:rStyle w:val="Hyperlink"/>
            <w:rFonts w:ascii="Didact Gothic" w:cs="Didact Gothic" w:eastAsia="Didact Gothic" w:hAnsi="Didact Gothic"/>
            <w:sz w:val="18"/>
            <w:szCs w:val="18"/>
          </w:rPr>
          <w:t xml:space="preserve">Fonte</w:t>
        </w:r>
      </w:hyperlink>
    </w:p>
    <w:p>
      <w:pPr>
        <w:spacing w:after="180"/>
      </w:pPr>
      <w:r>
        <w:rPr>
          <w:rFonts w:ascii="Didact Gothic" w:cs="Didact Gothic" w:eastAsia="Didact Gothic" w:hAnsi="Didact Gothic"/>
          <w:i w:val="false"/>
          <w:iCs w:val="false"/>
          <w:color w:val="1A120B"/>
          <w:sz w:val="22"/>
          <w:szCs w:val="22"/>
        </w:rPr>
        <w:t xml:space="preserve">Oggi il team e' piccolo: uno sviluppatore e una persona di prodotto. Con un pool del 5%, il dev potrebbe avere l'1.5% e il PM lo 0.5-1%, con margine per le prossime assunzioni. Se il dev ha l'1.5% e usciamo a EUR 38M (il caso base del modello), il suo payout lordo e' circa EUR 570K. Alla Series A il pool si puo' sempre espandere, quando gli investitori chiederanno un option pool rinfrescato del 10-15%.</w:t>
      </w:r>
    </w:p>
    <w:p>
      <w:pPr>
        <w:pStyle w:val="Heading2"/>
      </w:pPr>
      <w:r>
        <w:t xml:space="preserve">Chi paga all'exit</w:t>
      </w:r>
    </w:p>
    <w:p>
      <w:pPr>
        <w:spacing w:after="180"/>
      </w:pPr>
      <w:r>
        <w:rPr>
          <w:rFonts w:ascii="Didact Gothic" w:cs="Didact Gothic" w:eastAsia="Didact Gothic" w:hAnsi="Didact Gothic"/>
          <w:i w:val="false"/>
          <w:iCs w:val="false"/>
          <w:color w:val="1A120B"/>
          <w:sz w:val="22"/>
          <w:szCs w:val="22"/>
        </w:rPr>
        <w:t xml:space="preserve">Il pool phantom viene pagato "off the top" dal prezzo di acquisizione, prima di distribuire i proventi agli azionisti. Poi il restante si divide proporzionalmente. Esempio con un exit a EUR 50M (dove il kicker porta la mia quota al 30%):</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Pool phantom: EUR 2.5M ai dipendenti</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Restante: EUR 47.5M diviso 70/30</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Amedeo + Marco Corsaro: EUR 33.25M</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Marco DC: EUR 14.25M</w:t>
      </w:r>
    </w:p>
    <w:p>
      <w:pPr>
        <w:spacing w:after="180"/>
      </w:pPr>
      <w:r>
        <w:rPr>
          <w:rFonts w:ascii="Didact Gothic" w:cs="Didact Gothic" w:eastAsia="Didact Gothic" w:hAnsi="Didact Gothic"/>
          <w:i w:val="false"/>
          <w:iCs w:val="false"/>
          <w:color w:val="1A120B"/>
          <w:sz w:val="22"/>
          <w:szCs w:val="22"/>
        </w:rPr>
        <w:t xml:space="preserve">In pratica tutti contribuiscono in proporzione alla propria quota, senza sorprese.</w:t>
      </w:r>
    </w:p>
    <w:p>
      <w:pPr>
        <w:pStyle w:val="Heading2"/>
      </w:pPr>
      <w:r>
        <w:t xml:space="preserve">Trattamento fiscale</w:t>
      </w:r>
    </w:p>
    <w:p>
      <w:pPr>
        <w:spacing w:after="180"/>
      </w:pPr>
      <w:r>
        <w:rPr>
          <w:rFonts w:ascii="Didact Gothic" w:cs="Didact Gothic" w:eastAsia="Didact Gothic" w:hAnsi="Didact Gothic"/>
          <w:color w:val="1A120B"/>
          <w:sz w:val="22"/>
          <w:szCs w:val="22"/>
        </w:rPr>
        <w:t xml:space="preserve">La Circolare n. 37 dell'Amministrazione Federale delle Contribuzioni (aggiornata ottobre 2020) classifica i phantom shares come "partecipazioni non genuine". In pratica: nessuna tassa al grant, nessuna tassa al vesting, tasse solo al momento del payout all'exit come reddito da lavoro ordinario. Contributi AVS/AI/IPG anche quelli al payout. VISCHER e la Swiss Startup Association raccomandano di chiedere un tax ruling al Canton Zugo prima del primo grant: costa CHF 2-5K e mette tutto in sicurezza. </w:t>
      </w:r>
      <w:hyperlink w:history="1" r:id="rIdahb4dnyw6j_ihwd8fuwt8">
        <w:r>
          <w:rPr>
            <w:rStyle w:val="Hyperlink"/>
            <w:rFonts w:ascii="Didact Gothic" w:cs="Didact Gothic" w:eastAsia="Didact Gothic" w:hAnsi="Didact Gothic"/>
            <w:sz w:val="18"/>
            <w:szCs w:val="18"/>
          </w:rPr>
          <w:t xml:space="preserve">Fonte Pestalozzi</w:t>
        </w:r>
      </w:hyperlink>
    </w:p>
    <w:p>
      <w:pPr>
        <w:pStyle w:val="Heading2"/>
      </w:pPr>
      <w:r>
        <w:t xml:space="preserve">Precedenti</w:t>
      </w:r>
    </w:p>
    <w:p>
      <w:pPr>
        <w:spacing w:after="180"/>
      </w:pPr>
      <w:r>
        <w:rPr>
          <w:rFonts w:ascii="Didact Gothic" w:cs="Didact Gothic" w:eastAsia="Didact Gothic" w:hAnsi="Didact Gothic"/>
          <w:color w:val="1A120B"/>
          <w:sz w:val="22"/>
          <w:szCs w:val="22"/>
        </w:rPr>
        <w:t xml:space="preserve">In Germania i VSOP (l'equivalente locale) sono la forma standard di equity per i dipendenti nelle startup. N26 ($9B), Personio ($8.5B) e Celonis ($13B) hanno tutti usato strutture virtuali. In Svizzera, Ledgy (Zurigo, Sequoia) offre strumenti dedicati per la gestione dei PSOP. Harvard Business School lo insegna come strumento standard di finanza aziendale. </w:t>
      </w:r>
      <w:hyperlink w:history="1" r:id="rIdfxrwzxoeuqvuaw5uukvkc">
        <w:r>
          <w:rPr>
            <w:rStyle w:val="Hyperlink"/>
            <w:rFonts w:ascii="Didact Gothic" w:cs="Didact Gothic" w:eastAsia="Didact Gothic" w:hAnsi="Didact Gothic"/>
            <w:sz w:val="18"/>
            <w:szCs w:val="18"/>
          </w:rPr>
          <w:t xml:space="preserve">Guida Saltox</w:t>
        </w:r>
      </w:hyperlink>
    </w:p>
    <w:p>
      <w:pPr>
        <w:pStyle w:val="Heading2"/>
      </w:pPr>
      <w:r>
        <w:t xml:space="preserve">Termini proposti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Parametro</w:t>
            </w:r>
          </w:p>
        </w:tc>
        <w:tc>
          <w:tcPr>
            <w:tcW w:type="dxa" w:w="62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Proposta</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Pool</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5% equivalente economico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Nessun impatto. Resta 80/20.</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Vesting</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4 anni, cliff di 1 anno, poi trimestrale</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Payout</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Solo exit (acquisizione, IPO). Nessun obbligo di buyback</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Accelerazione</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Double trigger: solo se il dipendente viene licenziato entro 12 mesi post-exit</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Good leaver</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Tiene i phantom "vested", pagati all'exit</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Bad leaver</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Perde tutto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Valutazione</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Ultimo round, oppure formula approvata dal CdA se pre-funding</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Tax ruling</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Canton Zugo, prima del primo grant (CHF 2-5K)</w:t>
            </w:r>
          </w:p>
        </w:tc>
      </w:tr>
    </w:tbl>
    <w:p>
      <w:pPr>
        <w:pStyle w:val="Heading1"/>
      </w:pPr>
      <w:r>
        <w:t xml:space="preserve">5. Governance e clausole di protezione</w:t>
      </w:r>
    </w:p>
    <w:p>
      <w:pPr>
        <w:spacing w:after="180"/>
      </w:pPr>
      <w:r>
        <w:rPr>
          <w:rFonts w:ascii="Didact Gothic" w:cs="Didact Gothic" w:eastAsia="Didact Gothic" w:hAnsi="Didact Gothic"/>
          <w:i w:val="false"/>
          <w:iCs w:val="false"/>
          <w:color w:val="1A120B"/>
          <w:sz w:val="22"/>
          <w:szCs w:val="22"/>
        </w:rPr>
        <w:t xml:space="preserve">Un buon accordo tra soci rende l'azienda piu' facile da vendere, da finanziare e da gestire. Queste clausole proteggono tutti.</w:t>
      </w:r>
    </w:p>
    <w:p>
      <w:pPr>
        <w:pStyle w:val="Heading2"/>
      </w:pPr>
      <w:r>
        <w:t xml:space="preserve">Consiglio di Amministrazione</w:t>
      </w:r>
    </w:p>
    <w:p>
      <w:pPr>
        <w:spacing w:after="180"/>
      </w:pPr>
      <w:r>
        <w:rPr>
          <w:rFonts w:ascii="Didact Gothic" w:cs="Didact Gothic" w:eastAsia="Didact Gothic" w:hAnsi="Didact Gothic"/>
          <w:i w:val="false"/>
          <w:iCs w:val="false"/>
          <w:color w:val="1A120B"/>
          <w:sz w:val="22"/>
          <w:szCs w:val="22"/>
        </w:rPr>
        <w:t xml:space="preserve">Tre membri: Amedeo, Marco Corsaro, Marco DC. Le decisioni importanti (fundraising, vendita, budget annuale, assunzioni C-level) richiedono 2 su 3. Nessuno viene scavalcato, ma nessuno puo' bloccare tutto da solo.</w:t>
      </w:r>
    </w:p>
    <w:p>
      <w:pPr>
        <w:pStyle w:val="Heading2"/>
      </w:pPr>
      <w:r>
        <w:t xml:space="preserve">Anti-diluizione</w:t>
      </w:r>
    </w:p>
    <w:p>
      <w:pPr>
        <w:spacing w:after="180"/>
      </w:pPr>
      <w:r>
        <w:rPr>
          <w:rFonts w:ascii="Didact Gothic" w:cs="Didact Gothic" w:eastAsia="Didact Gothic" w:hAnsi="Didact Gothic"/>
          <w:i w:val="false"/>
          <w:iCs w:val="false"/>
          <w:color w:val="1A120B"/>
          <w:sz w:val="22"/>
          <w:szCs w:val="22"/>
        </w:rPr>
        <w:t xml:space="preserve">Amedeo ha detto che vuole trovare un modo per proteggermi dalla diluizione. L'approccio piu' semplice: diritti pro-rata in ogni round futuro. Se qualcuno non vuole o non puo' investire, accetta la diluizione, ma l'opzione deve esserci.</w:t>
      </w:r>
    </w:p>
    <w:p>
      <w:pPr>
        <w:spacing w:after="180"/>
      </w:pPr>
      <w:r>
        <w:rPr>
          <w:rFonts w:ascii="Didact Gothic" w:cs="Didact Gothic" w:eastAsia="Didact Gothic" w:hAnsi="Didact Gothic"/>
          <w:i w:val="false"/>
          <w:iCs w:val="false"/>
          <w:color w:val="1A120B"/>
          <w:sz w:val="22"/>
          <w:szCs w:val="22"/>
        </w:rPr>
        <w:t xml:space="preserve">In piu', propongo un floor: la mia quota post-Series A non puo' scendere sotto il 15% senza il mio consenso. Agli investitori questo piace, perche' un CEO con equity significativa e' un CEO che resta.</w:t>
      </w:r>
    </w:p>
    <w:p>
      <w:pPr>
        <w:pStyle w:val="Heading2"/>
      </w:pPr>
      <w:r>
        <w:t xml:space="preserve">Drag-along e tag-along</w:t>
      </w:r>
    </w:p>
    <w:p>
      <w:pPr>
        <w:spacing w:after="180"/>
      </w:pPr>
      <w:r>
        <w:rPr>
          <w:rFonts w:ascii="Didact Gothic" w:cs="Didact Gothic" w:eastAsia="Didact Gothic" w:hAnsi="Didact Gothic"/>
          <w:b/>
          <w:bCs/>
          <w:color w:val="1A120B"/>
          <w:sz w:val="22"/>
          <w:szCs w:val="22"/>
        </w:rPr>
        <w:t xml:space="preserve">Drag-along: </w:t>
      </w:r>
      <w:r>
        <w:rPr>
          <w:rFonts w:ascii="Didact Gothic" w:cs="Didact Gothic" w:eastAsia="Didact Gothic" w:hAnsi="Didact Gothic"/>
          <w:i w:val="false"/>
          <w:iCs w:val="false"/>
          <w:color w:val="1A120B"/>
          <w:sz w:val="22"/>
          <w:szCs w:val="22"/>
        </w:rPr>
        <w:t xml:space="preserve">Se chi ha il 75%+ delle azioni decide di vendere, tutti devono vendere alle stesse condizioni. Protegge Amedeo e Marco Corsaro da un minority che blocca un'exit.</w:t>
      </w:r>
    </w:p>
    <w:p>
      <w:pPr>
        <w:spacing w:after="180"/>
      </w:pPr>
      <w:r>
        <w:rPr>
          <w:rFonts w:ascii="Didact Gothic" w:cs="Didact Gothic" w:eastAsia="Didact Gothic" w:hAnsi="Didact Gothic"/>
          <w:b/>
          <w:bCs/>
          <w:color w:val="1A120B"/>
          <w:sz w:val="22"/>
          <w:szCs w:val="22"/>
        </w:rPr>
        <w:t xml:space="preserve">Tag-along: </w:t>
      </w:r>
      <w:r>
        <w:rPr>
          <w:rFonts w:ascii="Didact Gothic" w:cs="Didact Gothic" w:eastAsia="Didact Gothic" w:hAnsi="Didact Gothic"/>
          <w:i w:val="false"/>
          <w:iCs w:val="false"/>
          <w:color w:val="1A120B"/>
          <w:sz w:val="22"/>
          <w:szCs w:val="22"/>
        </w:rPr>
        <w:t xml:space="preserve">Se un azionista riceve un'offerta, tutti gli altri possono vendere alle stesse condizioni. Protegge me: nessuno esce in privato lasciandomi dentro.</w:t>
      </w:r>
    </w:p>
    <w:p>
      <w:pPr>
        <w:pStyle w:val="Heading2"/>
      </w:pPr>
      <w:r>
        <w:t xml:space="preserve">Deadlock</w:t>
      </w:r>
    </w:p>
    <w:p>
      <w:pPr>
        <w:spacing w:after="180"/>
      </w:pPr>
      <w:r>
        <w:rPr>
          <w:rFonts w:ascii="Didact Gothic" w:cs="Didact Gothic" w:eastAsia="Didact Gothic" w:hAnsi="Didact Gothic"/>
          <w:i w:val="false"/>
          <w:iCs w:val="false"/>
          <w:color w:val="1A120B"/>
          <w:sz w:val="22"/>
          <w:szCs w:val="22"/>
        </w:rPr>
        <w:t xml:space="preserve">Se il board e' bloccato 1-1-1, ci impegniamo a coinvolgere un mediatore o un advisor concordato prima di fare mosse drastiche.</w:t>
      </w:r>
    </w:p>
    <w:p>
      <w:pPr>
        <w:pStyle w:val="Heading2"/>
      </w:pPr>
      <w:r>
        <w:t xml:space="preserve">Autonomia operativa</w:t>
      </w:r>
    </w:p>
    <w:p>
      <w:pPr>
        <w:spacing w:after="180"/>
      </w:pPr>
      <w:r>
        <w:rPr>
          <w:rFonts w:ascii="Didact Gothic" w:cs="Didact Gothic" w:eastAsia="Didact Gothic" w:hAnsi="Didact Gothic"/>
          <w:i w:val="false"/>
          <w:iCs w:val="false"/>
          <w:color w:val="1A120B"/>
          <w:sz w:val="22"/>
          <w:szCs w:val="22"/>
        </w:rPr>
        <w:t xml:space="preserve">Piena autorita' su prodotto, assunzioni e spesa entro il budget annuale approvato. Report finanziari mensili al board, review strategiche trimestrali.</w:t>
      </w:r>
    </w:p>
    <w:p>
      <w:pPr>
        <w:pStyle w:val="Heading2"/>
      </w:pPr>
      <w:r>
        <w:t xml:space="preserve">Non-compete</w:t>
      </w:r>
    </w:p>
    <w:p>
      <w:pPr>
        <w:spacing w:after="180"/>
      </w:pPr>
      <w:r>
        <w:rPr>
          <w:rFonts w:ascii="Didact Gothic" w:cs="Didact Gothic" w:eastAsia="Didact Gothic" w:hAnsi="Didact Gothic"/>
          <w:i w:val="false"/>
          <w:iCs w:val="false"/>
          <w:color w:val="1A120B"/>
          <w:sz w:val="22"/>
          <w:szCs w:val="22"/>
        </w:rPr>
        <w:t xml:space="preserve">12 mesi, limitato a hotel AI SaaS, solo se esco come good leaver. Se vengo mandato via senza giusta causa, nessun vincolo.</w:t>
      </w:r>
    </w:p>
    <w:p>
      <w:pPr>
        <w:pStyle w:val="Heading2"/>
      </w:pPr>
      <w:r>
        <w:t xml:space="preserve">Diritti di informazione</w:t>
      </w:r>
    </w:p>
    <w:p>
      <w:pPr>
        <w:spacing w:after="180"/>
      </w:pPr>
      <w:r>
        <w:rPr>
          <w:rFonts w:ascii="Didact Gothic" w:cs="Didact Gothic" w:eastAsia="Didact Gothic" w:hAnsi="Didact Gothic"/>
          <w:i w:val="false"/>
          <w:iCs w:val="false"/>
          <w:color w:val="1A120B"/>
          <w:sz w:val="22"/>
          <w:szCs w:val="22"/>
        </w:rPr>
        <w:t xml:space="preserve">Tutti gli azionisti ricevono financials trimestrali, bilancio annuale e preavviso su eventi materiali (funding, vendita, assunzioni chiave), cosi' la trasparenza funziona in entrambe le direzioni.</w:t>
      </w:r>
    </w:p>
    <w:p>
      <w:pPr>
        <w:pStyle w:val="Heading1"/>
      </w:pPr>
      <w:r>
        <w:t xml:space="preserve">6. Perche' AG e non GmbH</w:t>
      </w:r>
    </w:p>
    <w:p>
      <w:pPr>
        <w:spacing w:after="180"/>
      </w:pPr>
      <w:r>
        <w:rPr>
          <w:rFonts w:ascii="Didact Gothic" w:cs="Didact Gothic" w:eastAsia="Didact Gothic" w:hAnsi="Didact Gothic"/>
          <w:i w:val="false"/>
          <w:iCs w:val="false"/>
          <w:color w:val="1A120B"/>
          <w:sz w:val="22"/>
          <w:szCs w:val="22"/>
        </w:rPr>
        <w:t xml:space="preserve">Non ne abbiamo ancora parlato, ma prima di costituire la societa' vale la pena chiarirlo. Per quello che vogliamo fare, la forma giusta e' la 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Tema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GmbH</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AG</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Capitale minimo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20K (versato 100%)</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100K (min 50K versato)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Trasferimento azioni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Notaio + registro di commercio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Dichiarazione scritta</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Capitale condizionale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Non disponibile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Disponibile</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Banda di capitale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Non disponibile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Disponibile</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Doveri fiduciari soci</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Si (obbligo legale)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No (solo impegno finanziario)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Investitori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Meno attrattiva per VC</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Standard per VC</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Privacy azionisti</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Nomi pubblici (registro)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Solo nel libro soci</w:t>
            </w:r>
          </w:p>
        </w:tc>
      </w:tr>
    </w:tbl>
    <w:p>
      <w:pPr>
        <w:spacing w:after="0" w:before="140"/>
      </w:pPr>
    </w:p>
    <w:p>
      <w:pPr>
        <w:spacing w:after="180"/>
      </w:pPr>
      <w:r>
        <w:rPr>
          <w:rFonts w:ascii="Didact Gothic" w:cs="Didact Gothic" w:eastAsia="Didact Gothic" w:hAnsi="Didact Gothic"/>
          <w:b/>
          <w:bCs/>
          <w:color w:val="1A120B"/>
          <w:sz w:val="22"/>
          <w:szCs w:val="22"/>
        </w:rPr>
        <w:t xml:space="preserve">Capitale condizionale: </w:t>
      </w:r>
      <w:r>
        <w:rPr>
          <w:rFonts w:ascii="Didact Gothic" w:cs="Didact Gothic" w:eastAsia="Didact Gothic" w:hAnsi="Didact Gothic"/>
          <w:i w:val="false"/>
          <w:iCs w:val="false"/>
          <w:color w:val="1A120B"/>
          <w:sz w:val="22"/>
          <w:szCs w:val="22"/>
        </w:rPr>
        <w:t xml:space="preserve">Le GmbH non possono avere capitale condizionale, che e' lo strumento con cui le startup emettono nuove azioni per i participation plan e per i round di finanziamento. Con una GmbH ci troveremmo a dover convertire in AG al primo round serio, perdendo tempo e soldi. Meglio partire nel modo giusto.</w:t>
      </w:r>
    </w:p>
    <w:p>
      <w:pPr>
        <w:spacing w:after="80"/>
      </w:pPr>
      <w:r>
        <w:rPr>
          <w:rFonts w:ascii="Didact Gothic" w:cs="Didact Gothic" w:eastAsia="Didact Gothic" w:hAnsi="Didact Gothic"/>
          <w:i/>
          <w:iCs/>
          <w:color w:val="7A6E63"/>
          <w:sz w:val="18"/>
          <w:szCs w:val="18"/>
        </w:rPr>
        <w:t xml:space="preserve">LEXR: "La AG offre vantaggi decisivi per le startup ad alta crescita: accesso al capitale piu' facile." </w:t>
      </w:r>
      <w:hyperlink w:history="1" r:id="rId-9bfpw7h3gqlferlojvzx">
        <w:r>
          <w:rPr>
            <w:rStyle w:val="Hyperlink"/>
            <w:rFonts w:ascii="Didact Gothic" w:cs="Didact Gothic" w:eastAsia="Didact Gothic" w:hAnsi="Didact Gothic"/>
            <w:sz w:val="18"/>
            <w:szCs w:val="18"/>
          </w:rPr>
          <w:t xml:space="preserve">Fonte</w:t>
        </w:r>
      </w:hyperlink>
    </w:p>
    <w:p>
      <w:pPr>
        <w:spacing w:after="180"/>
      </w:pPr>
      <w:r>
        <w:rPr>
          <w:rFonts w:ascii="Didact Gothic" w:cs="Didact Gothic" w:eastAsia="Didact Gothic" w:hAnsi="Didact Gothic"/>
          <w:b/>
          <w:bCs/>
          <w:color w:val="1A120B"/>
          <w:sz w:val="22"/>
          <w:szCs w:val="22"/>
        </w:rPr>
        <w:t xml:space="preserve">Trasferimento azioni: </w:t>
      </w:r>
      <w:r>
        <w:rPr>
          <w:rFonts w:ascii="Didact Gothic" w:cs="Didact Gothic" w:eastAsia="Didact Gothic" w:hAnsi="Didact Gothic"/>
          <w:i w:val="false"/>
          <w:iCs w:val="false"/>
          <w:color w:val="1A120B"/>
          <w:sz w:val="22"/>
          <w:szCs w:val="22"/>
        </w:rPr>
        <w:t xml:space="preserve">Nella GmbH ogni trasferimento di quote richiede un atto notarile e l'iscrizione al registro di commercio. Nella AG basta una dichiarazione di cessione e la registrazione nel libro soci. Quando faremo fundraising, questa differenza si traduce in settimane e migliaia di franchi.</w:t>
      </w:r>
    </w:p>
    <w:p>
      <w:pPr>
        <w:spacing w:after="80"/>
      </w:pPr>
      <w:r>
        <w:rPr>
          <w:rFonts w:ascii="Didact Gothic" w:cs="Didact Gothic" w:eastAsia="Didact Gothic" w:hAnsi="Didact Gothic"/>
          <w:i/>
          <w:iCs/>
          <w:color w:val="7A6E63"/>
          <w:sz w:val="18"/>
          <w:szCs w:val="18"/>
        </w:rPr>
        <w:t xml:space="preserve">Embark.law: "Se prevedete investitori esterni o un ESOP, spesso non c'e' alternativa alla conversione in AG." </w:t>
      </w:r>
      <w:hyperlink w:history="1" r:id="rIdqs8yfmhtfmeyixuithvbn">
        <w:r>
          <w:rPr>
            <w:rStyle w:val="Hyperlink"/>
            <w:rFonts w:ascii="Didact Gothic" w:cs="Didact Gothic" w:eastAsia="Didact Gothic" w:hAnsi="Didact Gothic"/>
            <w:sz w:val="18"/>
            <w:szCs w:val="18"/>
          </w:rPr>
          <w:t xml:space="preserve">Fonte</w:t>
        </w:r>
      </w:hyperlink>
    </w:p>
    <w:p>
      <w:pPr>
        <w:spacing w:after="180"/>
      </w:pPr>
      <w:r>
        <w:rPr>
          <w:rFonts w:ascii="Didact Gothic" w:cs="Didact Gothic" w:eastAsia="Didact Gothic" w:hAnsi="Didact Gothic"/>
          <w:b/>
          <w:bCs/>
          <w:color w:val="1A120B"/>
          <w:sz w:val="22"/>
          <w:szCs w:val="22"/>
        </w:rPr>
        <w:t xml:space="preserve">Doveri fiduciari: </w:t>
      </w:r>
      <w:r>
        <w:rPr>
          <w:rFonts w:ascii="Didact Gothic" w:cs="Didact Gothic" w:eastAsia="Didact Gothic" w:hAnsi="Didact Gothic"/>
          <w:i w:val="false"/>
          <w:iCs w:val="false"/>
          <w:color w:val="1A120B"/>
          <w:sz w:val="22"/>
          <w:szCs w:val="22"/>
        </w:rPr>
        <w:t xml:space="preserve">Nella GmbH i soci hanno un obbligo fiduciario verso la societa'. Nella AG, gli azionisti impegnano solo il capitale. Gli investitori VC non vogliono doveri fiduciari verso le startup in cui investono.</w:t>
      </w:r>
    </w:p>
    <w:p>
      <w:pPr>
        <w:spacing w:after="80"/>
      </w:pPr>
      <w:r>
        <w:rPr>
          <w:rFonts w:ascii="Didact Gothic" w:cs="Didact Gothic" w:eastAsia="Didact Gothic" w:hAnsi="Didact Gothic"/>
          <w:i/>
          <w:iCs/>
          <w:color w:val="7A6E63"/>
          <w:sz w:val="18"/>
          <w:szCs w:val="18"/>
        </w:rPr>
        <w:t xml:space="preserve">SwissFirma: "Gli investitori di solito non hanno interesse a essere soggetti a doveri fiduciari verso le startup in cui investono." </w:t>
      </w:r>
      <w:hyperlink w:history="1" r:id="rIdu9cpmweppjsnoih65aifx">
        <w:r>
          <w:rPr>
            <w:rStyle w:val="Hyperlink"/>
            <w:rFonts w:ascii="Didact Gothic" w:cs="Didact Gothic" w:eastAsia="Didact Gothic" w:hAnsi="Didact Gothic"/>
            <w:sz w:val="18"/>
            <w:szCs w:val="18"/>
          </w:rPr>
          <w:t xml:space="preserve">Fonte</w:t>
        </w:r>
      </w:hyperlink>
    </w:p>
    <w:p>
      <w:pPr>
        <w:spacing w:after="180"/>
      </w:pPr>
      <w:r>
        <w:rPr>
          <w:rFonts w:ascii="Didact Gothic" w:cs="Didact Gothic" w:eastAsia="Didact Gothic" w:hAnsi="Didact Gothic"/>
          <w:i w:val="false"/>
          <w:iCs w:val="false"/>
          <w:color w:val="1A120B"/>
          <w:sz w:val="22"/>
          <w:szCs w:val="22"/>
        </w:rPr>
        <w:t xml:space="preserve">Si', la AG ha un capitale minimo piu' alto (CHF 100K contro 20K, di cui almeno 50K versato). Ma e' un investimento che evita la conversione obbligata piu' avanti. Tutte le startup svizzere che raccolgono VC sono AG.</w:t>
      </w:r>
    </w:p>
    <w:p>
      <w:pPr>
        <w:pStyle w:val="Heading1"/>
      </w:pPr>
      <w:r>
        <w:t xml:space="preserve">7. Una nota sul nome</w:t>
      </w:r>
    </w:p>
    <w:p>
      <w:pPr>
        <w:spacing w:after="180"/>
      </w:pPr>
      <w:r>
        <w:rPr>
          <w:rFonts w:ascii="Didact Gothic" w:cs="Didact Gothic" w:eastAsia="Didact Gothic" w:hAnsi="Didact Gothic"/>
          <w:i w:val="false"/>
          <w:iCs w:val="false"/>
          <w:color w:val="1A120B"/>
          <w:sz w:val="22"/>
          <w:szCs w:val="22"/>
        </w:rPr>
        <w:t xml:space="preserve">Il nome Lumina mi piace molto. Funziona bene nell'hospitality, e' caldo, elegante, internazionale.</w:t>
      </w:r>
    </w:p>
    <w:p>
      <w:pPr>
        <w:spacing w:after="180"/>
      </w:pPr>
      <w:r>
        <w:rPr>
          <w:rFonts w:ascii="Didact Gothic" w:cs="Didact Gothic" w:eastAsia="Didact Gothic" w:hAnsi="Didact Gothic"/>
          <w:i w:val="false"/>
          <w:iCs w:val="false"/>
          <w:color w:val="1A120B"/>
          <w:sz w:val="22"/>
          <w:szCs w:val="22"/>
        </w:rPr>
        <w:t xml:space="preserve">Ho fatto un po' di ricerca sui domini e vi condivido quello che ho trovato:</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lumina.com e' registrato dal 1993, probabilmente non in vendita o a cifre assurde</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lumina.ai e' gia' usato da RealPage per un prodotto di AI nel real estate</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lumina.io costa circa 199K, quindi non e' un'opzione realistica</w:t>
      </w:r>
    </w:p>
    <w:p>
      <w:pPr>
        <w:pStyle w:val="ListParagraph"/>
        <w:numPr>
          <w:ilvl w:val="0"/>
          <w:numId w:val="2"/>
        </w:numPr>
        <w:spacing w:after="180"/>
      </w:pPr>
      <w:r>
        <w:rPr>
          <w:rFonts w:ascii="Didact Gothic" w:cs="Didact Gothic" w:eastAsia="Didact Gothic" w:hAnsi="Didact Gothic"/>
          <w:i w:val="false"/>
          <w:iCs w:val="false"/>
          <w:color w:val="1A120B"/>
          <w:sz w:val="22"/>
          <w:szCs w:val="22"/>
        </w:rPr>
        <w:t xml:space="preserve">Quindi finiremmo con qualcosa tipo getlumina.com, uselumina.com, o luminahotels.com, niente di grave ma nessuno e' perfetto</w:t>
      </w:r>
    </w:p>
    <w:p>
      <w:pPr>
        <w:spacing w:after="180"/>
      </w:pPr>
      <w:r>
        <w:rPr>
          <w:rFonts w:ascii="Didact Gothic" w:cs="Didact Gothic" w:eastAsia="Didact Gothic" w:hAnsi="Didact Gothic"/>
          <w:i w:val="false"/>
          <w:iCs w:val="false"/>
          <w:color w:val="1A120B"/>
          <w:sz w:val="22"/>
          <w:szCs w:val="22"/>
        </w:rPr>
        <w:t xml:space="preserve">Per confronto, tercier.com e tercier.ai sono entrambi disponibili. Non dico di cambiare nome, dico solo che e' un aspetto pratico da considerare prima di registrare tutto. Ne parliamo, il nome non e' la cosa che conta.</w:t>
      </w:r>
    </w:p>
    <w:p>
      <w:pPr>
        <w:spacing w:after="0" w:before="200"/>
      </w:pPr>
    </w:p>
    <w:p>
      <w:r>
        <w:br w:type="page"/>
      </w:r>
    </w:p>
    <w:p>
      <w:pPr>
        <w:pStyle w:val="Heading1"/>
      </w:pPr>
      <w:r>
        <w:t xml:space="preserve">Fonti</w:t>
      </w:r>
    </w:p>
    <w:p>
      <w:pPr>
        <w:spacing w:after="60"/>
      </w:pPr>
      <w:r>
        <w:rPr>
          <w:rFonts w:ascii="Didact Gothic" w:cs="Didact Gothic" w:eastAsia="Didact Gothic" w:hAnsi="Didact Gothic"/>
          <w:b/>
          <w:bCs/>
          <w:color w:val="1A120B"/>
          <w:sz w:val="17"/>
          <w:szCs w:val="17"/>
        </w:rPr>
        <w:t xml:space="preserve">1. LEXR AG (Zurigo) — </w:t>
      </w:r>
      <w:r>
        <w:rPr>
          <w:rFonts w:ascii="Didact Gothic" w:cs="Didact Gothic" w:eastAsia="Didact Gothic" w:hAnsi="Didact Gothic"/>
          <w:i/>
          <w:iCs/>
          <w:color w:val="7A6E63"/>
          <w:sz w:val="17"/>
          <w:szCs w:val="17"/>
        </w:rPr>
        <w:t xml:space="preserve">Phantom Share Plan Guide </w:t>
      </w:r>
      <w:hyperlink w:history="1" r:id="rIdqzn3oescvzbaq5lvmqngv">
        <w:r>
          <w:rPr>
            <w:rStyle w:val="Hyperlink"/>
            <w:rFonts w:ascii="Didact Gothic" w:cs="Didact Gothic" w:eastAsia="Didact Gothic" w:hAnsi="Didact Gothic"/>
            <w:sz w:val="18"/>
            <w:szCs w:val="18"/>
          </w:rPr>
          <w:t xml:space="preserve">https://www.lexr.com/en-ch/blog/phantom-share-plan-setup-payouts-benefits/</w:t>
        </w:r>
      </w:hyperlink>
    </w:p>
    <w:p>
      <w:pPr>
        <w:spacing w:after="60"/>
      </w:pPr>
      <w:r>
        <w:rPr>
          <w:rFonts w:ascii="Didact Gothic" w:cs="Didact Gothic" w:eastAsia="Didact Gothic" w:hAnsi="Didact Gothic"/>
          <w:b/>
          <w:bCs/>
          <w:color w:val="1A120B"/>
          <w:sz w:val="17"/>
          <w:szCs w:val="17"/>
        </w:rPr>
        <w:t xml:space="preserve">2. MME Legal (Zurigo) — </w:t>
      </w:r>
      <w:r>
        <w:rPr>
          <w:rFonts w:ascii="Didact Gothic" w:cs="Didact Gothic" w:eastAsia="Didact Gothic" w:hAnsi="Didact Gothic"/>
          <w:i/>
          <w:iCs/>
          <w:color w:val="7A6E63"/>
          <w:sz w:val="17"/>
          <w:szCs w:val="17"/>
        </w:rPr>
        <w:t xml:space="preserve">Phantom Shares: Virtual Shareholdings </w:t>
      </w:r>
      <w:hyperlink w:history="1" r:id="rIdcyxffkbptrevvp-hh2r-p">
        <w:r>
          <w:rPr>
            <w:rStyle w:val="Hyperlink"/>
            <w:rFonts w:ascii="Didact Gothic" w:cs="Didact Gothic" w:eastAsia="Didact Gothic" w:hAnsi="Didact Gothic"/>
            <w:sz w:val="18"/>
            <w:szCs w:val="18"/>
          </w:rPr>
          <w:t xml:space="preserve">https://www.mme.ch/en/magazine/articles/phantom-shares-virtual-shareholdings</w:t>
        </w:r>
      </w:hyperlink>
    </w:p>
    <w:p>
      <w:pPr>
        <w:spacing w:after="60"/>
      </w:pPr>
      <w:r>
        <w:rPr>
          <w:rFonts w:ascii="Didact Gothic" w:cs="Didact Gothic" w:eastAsia="Didact Gothic" w:hAnsi="Didact Gothic"/>
          <w:b/>
          <w:bCs/>
          <w:color w:val="1A120B"/>
          <w:sz w:val="17"/>
          <w:szCs w:val="17"/>
        </w:rPr>
        <w:t xml:space="preserve">3. Pestalozzi Attorneys (Zurigo) — </w:t>
      </w:r>
      <w:r>
        <w:rPr>
          <w:rFonts w:ascii="Didact Gothic" w:cs="Didact Gothic" w:eastAsia="Didact Gothic" w:hAnsi="Didact Gothic"/>
          <w:i/>
          <w:iCs/>
          <w:color w:val="7A6E63"/>
          <w:sz w:val="17"/>
          <w:szCs w:val="17"/>
        </w:rPr>
        <w:t xml:space="preserve">Taxation of Employee Equity Incentives </w:t>
      </w:r>
      <w:hyperlink w:history="1" r:id="rIdhmx7xpvfgoazvte6f3pae">
        <w:r>
          <w:rPr>
            <w:rStyle w:val="Hyperlink"/>
            <w:rFonts w:ascii="Didact Gothic" w:cs="Didact Gothic" w:eastAsia="Didact Gothic" w:hAnsi="Didact Gothic"/>
            <w:sz w:val="18"/>
            <w:szCs w:val="18"/>
          </w:rPr>
          <w:t xml:space="preserve">https://pestalozzilaw.com/en/insights/news/legal-insights/taxation-employee-equity-incentives-switzerland/</w:t>
        </w:r>
      </w:hyperlink>
    </w:p>
    <w:p>
      <w:pPr>
        <w:spacing w:after="60"/>
      </w:pPr>
      <w:r>
        <w:rPr>
          <w:rFonts w:ascii="Didact Gothic" w:cs="Didact Gothic" w:eastAsia="Didact Gothic" w:hAnsi="Didact Gothic"/>
          <w:b/>
          <w:bCs/>
          <w:color w:val="1A120B"/>
          <w:sz w:val="17"/>
          <w:szCs w:val="17"/>
        </w:rPr>
        <w:t xml:space="preserve">4. VISCHER AG (Basilea/Zurigo) — </w:t>
      </w:r>
      <w:r>
        <w:rPr>
          <w:rFonts w:ascii="Didact Gothic" w:cs="Didact Gothic" w:eastAsia="Didact Gothic" w:hAnsi="Didact Gothic"/>
          <w:i/>
          <w:iCs/>
          <w:color w:val="7A6E63"/>
          <w:sz w:val="17"/>
          <w:szCs w:val="17"/>
        </w:rPr>
        <w:t xml:space="preserve">Employee Participation </w:t>
      </w:r>
      <w:hyperlink w:history="1" r:id="rIdzyrtfbhbjwfw1evwa7kac">
        <w:r>
          <w:rPr>
            <w:rStyle w:val="Hyperlink"/>
            <w:rFonts w:ascii="Didact Gothic" w:cs="Didact Gothic" w:eastAsia="Didact Gothic" w:hAnsi="Didact Gothic"/>
            <w:sz w:val="18"/>
            <w:szCs w:val="18"/>
          </w:rPr>
          <w:t xml:space="preserve">https://www.vischer.com/en/knowledge/blog/employee-participation-part-1-40236/</w:t>
        </w:r>
      </w:hyperlink>
    </w:p>
    <w:p>
      <w:pPr>
        <w:spacing w:after="60"/>
      </w:pPr>
      <w:r>
        <w:rPr>
          <w:rFonts w:ascii="Didact Gothic" w:cs="Didact Gothic" w:eastAsia="Didact Gothic" w:hAnsi="Didact Gothic"/>
          <w:b/>
          <w:bCs/>
          <w:color w:val="1A120B"/>
          <w:sz w:val="17"/>
          <w:szCs w:val="17"/>
        </w:rPr>
        <w:t xml:space="preserve">5. Walder Wyss (Zurigo) — </w:t>
      </w:r>
      <w:r>
        <w:rPr>
          <w:rFonts w:ascii="Didact Gothic" w:cs="Didact Gothic" w:eastAsia="Didact Gothic" w:hAnsi="Didact Gothic"/>
          <w:i/>
          <w:iCs/>
          <w:color w:val="7A6E63"/>
          <w:sz w:val="17"/>
          <w:szCs w:val="17"/>
        </w:rPr>
        <w:t xml:space="preserve">Employee Share Plans in Switzerland </w:t>
      </w:r>
      <w:hyperlink w:history="1" r:id="rIdtlsxxbhkc2sfnfd6zyedr">
        <w:r>
          <w:rPr>
            <w:rStyle w:val="Hyperlink"/>
            <w:rFonts w:ascii="Didact Gothic" w:cs="Didact Gothic" w:eastAsia="Didact Gothic" w:hAnsi="Didact Gothic"/>
            <w:sz w:val="18"/>
            <w:szCs w:val="18"/>
          </w:rPr>
          <w:t xml:space="preserve">https://www.walderwyss.com/assets/content/publications/Employee-share-plans-in-Switzerland-regulatory-overview.pdf</w:t>
        </w:r>
      </w:hyperlink>
    </w:p>
    <w:p>
      <w:pPr>
        <w:spacing w:after="60"/>
      </w:pPr>
      <w:r>
        <w:rPr>
          <w:rFonts w:ascii="Didact Gothic" w:cs="Didact Gothic" w:eastAsia="Didact Gothic" w:hAnsi="Didact Gothic"/>
          <w:b/>
          <w:bCs/>
          <w:color w:val="1A120B"/>
          <w:sz w:val="17"/>
          <w:szCs w:val="17"/>
        </w:rPr>
        <w:t xml:space="preserve">6. Amm. Federale delle Contribuzioni — </w:t>
      </w:r>
      <w:r>
        <w:rPr>
          <w:rFonts w:ascii="Didact Gothic" w:cs="Didact Gothic" w:eastAsia="Didact Gothic" w:hAnsi="Didact Gothic"/>
          <w:i/>
          <w:iCs/>
          <w:color w:val="7A6E63"/>
          <w:sz w:val="17"/>
          <w:szCs w:val="17"/>
        </w:rPr>
        <w:t xml:space="preserve">Circolare n. 37 (agg. ottobre 2020)</w:t>
      </w:r>
    </w:p>
    <w:p>
      <w:pPr>
        <w:spacing w:after="60"/>
      </w:pPr>
      <w:r>
        <w:rPr>
          <w:rFonts w:ascii="Didact Gothic" w:cs="Didact Gothic" w:eastAsia="Didact Gothic" w:hAnsi="Didact Gothic"/>
          <w:b/>
          <w:bCs/>
          <w:color w:val="1A120B"/>
          <w:sz w:val="17"/>
          <w:szCs w:val="17"/>
        </w:rPr>
        <w:t xml:space="preserve">7. Konsento AG (Zurigo) — </w:t>
      </w:r>
      <w:r>
        <w:rPr>
          <w:rFonts w:ascii="Didact Gothic" w:cs="Didact Gothic" w:eastAsia="Didact Gothic" w:hAnsi="Didact Gothic"/>
          <w:i/>
          <w:iCs/>
          <w:color w:val="7A6E63"/>
          <w:sz w:val="17"/>
          <w:szCs w:val="17"/>
        </w:rPr>
        <w:t xml:space="preserve">Employee Participation in Switzerland </w:t>
      </w:r>
      <w:hyperlink w:history="1" r:id="rIdkh5vkjw1shn9g497jcpvx">
        <w:r>
          <w:rPr>
            <w:rStyle w:val="Hyperlink"/>
            <w:rFonts w:ascii="Didact Gothic" w:cs="Didact Gothic" w:eastAsia="Didact Gothic" w:hAnsi="Didact Gothic"/>
            <w:sz w:val="18"/>
            <w:szCs w:val="18"/>
          </w:rPr>
          <w:t xml:space="preserve">https://www.konsento.ch/en/post/employee-participation-in-switzerland-advantages-of-phantom-shares-and-participation-certificates</w:t>
        </w:r>
      </w:hyperlink>
    </w:p>
    <w:p>
      <w:pPr>
        <w:spacing w:after="60"/>
      </w:pPr>
      <w:r>
        <w:rPr>
          <w:rFonts w:ascii="Didact Gothic" w:cs="Didact Gothic" w:eastAsia="Didact Gothic" w:hAnsi="Didact Gothic"/>
          <w:b/>
          <w:bCs/>
          <w:color w:val="1A120B"/>
          <w:sz w:val="17"/>
          <w:szCs w:val="17"/>
        </w:rPr>
        <w:t xml:space="preserve">8. Swiss Startup Association — </w:t>
      </w:r>
      <w:r>
        <w:rPr>
          <w:rFonts w:ascii="Didact Gothic" w:cs="Didact Gothic" w:eastAsia="Didact Gothic" w:hAnsi="Didact Gothic"/>
          <w:i/>
          <w:iCs/>
          <w:color w:val="7A6E63"/>
          <w:sz w:val="17"/>
          <w:szCs w:val="17"/>
        </w:rPr>
        <w:t xml:space="preserve">An Overview of ESOP </w:t>
      </w:r>
      <w:hyperlink w:history="1" r:id="rIdzzzx9lvkcdwanvkbyao0k">
        <w:r>
          <w:rPr>
            <w:rStyle w:val="Hyperlink"/>
            <w:rFonts w:ascii="Didact Gothic" w:cs="Didact Gothic" w:eastAsia="Didact Gothic" w:hAnsi="Didact Gothic"/>
            <w:sz w:val="18"/>
            <w:szCs w:val="18"/>
          </w:rPr>
          <w:t xml:space="preserve">https://swissstartupassociation.ch/2020/11/20/employee-stock-participation-esop/</w:t>
        </w:r>
      </w:hyperlink>
    </w:p>
    <w:p>
      <w:pPr>
        <w:spacing w:after="60"/>
      </w:pPr>
      <w:r>
        <w:rPr>
          <w:rFonts w:ascii="Didact Gothic" w:cs="Didact Gothic" w:eastAsia="Didact Gothic" w:hAnsi="Didact Gothic"/>
          <w:b/>
          <w:bCs/>
          <w:color w:val="1A120B"/>
          <w:sz w:val="17"/>
          <w:szCs w:val="17"/>
        </w:rPr>
        <w:t xml:space="preserve">9. Ledgy AG (Zurigo, Sequoia) — </w:t>
      </w:r>
      <w:r>
        <w:rPr>
          <w:rFonts w:ascii="Didact Gothic" w:cs="Didact Gothic" w:eastAsia="Didact Gothic" w:hAnsi="Didact Gothic"/>
          <w:i/>
          <w:iCs/>
          <w:color w:val="7A6E63"/>
          <w:sz w:val="17"/>
          <w:szCs w:val="17"/>
        </w:rPr>
        <w:t xml:space="preserve">PSOP vs ESOP </w:t>
      </w:r>
      <w:hyperlink w:history="1" r:id="rIdmaexemiqk2tqtcucvv7p_">
        <w:r>
          <w:rPr>
            <w:rStyle w:val="Hyperlink"/>
            <w:rFonts w:ascii="Didact Gothic" w:cs="Didact Gothic" w:eastAsia="Didact Gothic" w:hAnsi="Didact Gothic"/>
            <w:sz w:val="18"/>
            <w:szCs w:val="18"/>
          </w:rPr>
          <w:t xml:space="preserve">https://ledgy.com/blog/esop-vs-psop</w:t>
        </w:r>
      </w:hyperlink>
    </w:p>
    <w:p>
      <w:pPr>
        <w:spacing w:after="60"/>
      </w:pPr>
      <w:r>
        <w:rPr>
          <w:rFonts w:ascii="Didact Gothic" w:cs="Didact Gothic" w:eastAsia="Didact Gothic" w:hAnsi="Didact Gothic"/>
          <w:b/>
          <w:bCs/>
          <w:color w:val="1A120B"/>
          <w:sz w:val="17"/>
          <w:szCs w:val="17"/>
        </w:rPr>
        <w:t xml:space="preserve">10. J.P. Morgan — </w:t>
      </w:r>
      <w:r>
        <w:rPr>
          <w:rFonts w:ascii="Didact Gothic" w:cs="Didact Gothic" w:eastAsia="Didact Gothic" w:hAnsi="Didact Gothic"/>
          <w:i/>
          <w:iCs/>
          <w:color w:val="7A6E63"/>
          <w:sz w:val="17"/>
          <w:szCs w:val="17"/>
        </w:rPr>
        <w:t xml:space="preserve">Phantom Equity for Startups </w:t>
      </w:r>
      <w:hyperlink w:history="1" r:id="rId_kcnxmgm6de5wh0lt5pry">
        <w:r>
          <w:rPr>
            <w:rStyle w:val="Hyperlink"/>
            <w:rFonts w:ascii="Didact Gothic" w:cs="Didact Gothic" w:eastAsia="Didact Gothic" w:hAnsi="Didact Gothic"/>
            <w:sz w:val="18"/>
            <w:szCs w:val="18"/>
          </w:rPr>
          <w:t xml:space="preserve">https://www.jpmorgan.com/insights/business-planning/understanding-phantom-equity-and-stock-plans-for-startups</w:t>
        </w:r>
      </w:hyperlink>
    </w:p>
    <w:p>
      <w:pPr>
        <w:spacing w:after="60"/>
      </w:pPr>
      <w:r>
        <w:rPr>
          <w:rFonts w:ascii="Didact Gothic" w:cs="Didact Gothic" w:eastAsia="Didact Gothic" w:hAnsi="Didact Gothic"/>
          <w:b/>
          <w:bCs/>
          <w:color w:val="1A120B"/>
          <w:sz w:val="17"/>
          <w:szCs w:val="17"/>
        </w:rPr>
        <w:t xml:space="preserve">11. Saltox — </w:t>
      </w:r>
      <w:r>
        <w:rPr>
          <w:rFonts w:ascii="Didact Gothic" w:cs="Didact Gothic" w:eastAsia="Didact Gothic" w:hAnsi="Didact Gothic"/>
          <w:i/>
          <w:iCs/>
          <w:color w:val="7A6E63"/>
          <w:sz w:val="17"/>
          <w:szCs w:val="17"/>
        </w:rPr>
        <w:t xml:space="preserve">Phantom Equity: Guide for Europe </w:t>
      </w:r>
      <w:hyperlink w:history="1" r:id="rIdptntcsxom6hfblt52zhdv">
        <w:r>
          <w:rPr>
            <w:rStyle w:val="Hyperlink"/>
            <w:rFonts w:ascii="Didact Gothic" w:cs="Didact Gothic" w:eastAsia="Didact Gothic" w:hAnsi="Didact Gothic"/>
            <w:sz w:val="18"/>
            <w:szCs w:val="18"/>
          </w:rPr>
          <w:t xml:space="preserve">https://www.saltox.co/resources/articles/phantom-equity</w:t>
        </w:r>
      </w:hyperlink>
    </w:p>
    <w:p>
      <w:pPr>
        <w:spacing w:after="60"/>
      </w:pPr>
      <w:r>
        <w:rPr>
          <w:rFonts w:ascii="Didact Gothic" w:cs="Didact Gothic" w:eastAsia="Didact Gothic" w:hAnsi="Didact Gothic"/>
          <w:b/>
          <w:bCs/>
          <w:color w:val="1A120B"/>
          <w:sz w:val="17"/>
          <w:szCs w:val="17"/>
        </w:rPr>
        <w:t xml:space="preserve">12. Harvard Business School — </w:t>
      </w:r>
      <w:r>
        <w:rPr>
          <w:rFonts w:ascii="Didact Gothic" w:cs="Didact Gothic" w:eastAsia="Didact Gothic" w:hAnsi="Didact Gothic"/>
          <w:i/>
          <w:iCs/>
          <w:color w:val="7A6E63"/>
          <w:sz w:val="17"/>
          <w:szCs w:val="17"/>
        </w:rPr>
        <w:t xml:space="preserve">ESOPs and Phantom Stock Plans </w:t>
      </w:r>
      <w:hyperlink w:history="1" r:id="rIdpv8o3ugixgivzu5pwvosa">
        <w:r>
          <w:rPr>
            <w:rStyle w:val="Hyperlink"/>
            <w:rFonts w:ascii="Didact Gothic" w:cs="Didact Gothic" w:eastAsia="Didact Gothic" w:hAnsi="Didact Gothic"/>
            <w:sz w:val="18"/>
            <w:szCs w:val="18"/>
          </w:rPr>
          <w:t xml:space="preserve">https://www.hbs.edu/faculty/Pages/item.aspx?num=27626</w:t>
        </w:r>
      </w:hyperlink>
    </w:p>
    <w:p>
      <w:pPr>
        <w:spacing w:after="60"/>
      </w:pPr>
      <w:r>
        <w:rPr>
          <w:rFonts w:ascii="Didact Gothic" w:cs="Didact Gothic" w:eastAsia="Didact Gothic" w:hAnsi="Didact Gothic"/>
          <w:b/>
          <w:bCs/>
          <w:color w:val="1A120B"/>
          <w:sz w:val="17"/>
          <w:szCs w:val="17"/>
        </w:rPr>
        <w:t xml:space="preserve">13. Gaia Law (Berlino) — </w:t>
      </w:r>
      <w:r>
        <w:rPr>
          <w:rFonts w:ascii="Didact Gothic" w:cs="Didact Gothic" w:eastAsia="Didact Gothic" w:hAnsi="Didact Gothic"/>
          <w:i/>
          <w:iCs/>
          <w:color w:val="7A6E63"/>
          <w:sz w:val="17"/>
          <w:szCs w:val="17"/>
        </w:rPr>
        <w:t xml:space="preserve">ESOPs vs VSOPs in Germany </w:t>
      </w:r>
      <w:hyperlink w:history="1" r:id="rIdsorqnw599lq8qfz00yhww">
        <w:r>
          <w:rPr>
            <w:rStyle w:val="Hyperlink"/>
            <w:rFonts w:ascii="Didact Gothic" w:cs="Didact Gothic" w:eastAsia="Didact Gothic" w:hAnsi="Didact Gothic"/>
            <w:sz w:val="18"/>
            <w:szCs w:val="18"/>
          </w:rPr>
          <w:t xml:space="preserve">https://www.gaia.law/resources/esopvsvsop</w:t>
        </w:r>
      </w:hyperlink>
    </w:p>
    <w:p>
      <w:pPr>
        <w:spacing w:after="60"/>
      </w:pPr>
      <w:r>
        <w:rPr>
          <w:rFonts w:ascii="Didact Gothic" w:cs="Didact Gothic" w:eastAsia="Didact Gothic" w:hAnsi="Didact Gothic"/>
          <w:b/>
          <w:bCs/>
          <w:color w:val="1A120B"/>
          <w:sz w:val="17"/>
          <w:szCs w:val="17"/>
        </w:rPr>
        <w:t xml:space="preserve">14. LEXR AG (Zurigo) — </w:t>
      </w:r>
      <w:r>
        <w:rPr>
          <w:rFonts w:ascii="Didact Gothic" w:cs="Didact Gothic" w:eastAsia="Didact Gothic" w:hAnsi="Didact Gothic"/>
          <w:i/>
          <w:iCs/>
          <w:color w:val="7A6E63"/>
          <w:sz w:val="17"/>
          <w:szCs w:val="17"/>
        </w:rPr>
        <w:t xml:space="preserve">AG vs GmbH per startup </w:t>
      </w:r>
      <w:hyperlink w:history="1" r:id="rId-nc8fiknnrc8olcxksgd3">
        <w:r>
          <w:rPr>
            <w:rStyle w:val="Hyperlink"/>
            <w:rFonts w:ascii="Didact Gothic" w:cs="Didact Gothic" w:eastAsia="Didact Gothic" w:hAnsi="Didact Gothic"/>
            <w:sz w:val="18"/>
            <w:szCs w:val="18"/>
          </w:rPr>
          <w:t xml:space="preserve">https://www.lexr.com/en-ch/blog/ag-vs-gmbh-why-the-ag-is-better-suited-for-swiss-high-growth-startups/</w:t>
        </w:r>
      </w:hyperlink>
    </w:p>
    <w:p>
      <w:pPr>
        <w:spacing w:after="60"/>
      </w:pPr>
      <w:r>
        <w:rPr>
          <w:rFonts w:ascii="Didact Gothic" w:cs="Didact Gothic" w:eastAsia="Didact Gothic" w:hAnsi="Didact Gothic"/>
          <w:b/>
          <w:bCs/>
          <w:color w:val="1A120B"/>
          <w:sz w:val="17"/>
          <w:szCs w:val="17"/>
        </w:rPr>
        <w:t xml:space="preserve">15. Embark.law (Zurigo) — </w:t>
      </w:r>
      <w:r>
        <w:rPr>
          <w:rFonts w:ascii="Didact Gothic" w:cs="Didact Gothic" w:eastAsia="Didact Gothic" w:hAnsi="Didact Gothic"/>
          <w:i/>
          <w:iCs/>
          <w:color w:val="7A6E63"/>
          <w:sz w:val="17"/>
          <w:szCs w:val="17"/>
        </w:rPr>
        <w:t xml:space="preserve">GmbH or AG? </w:t>
      </w:r>
      <w:hyperlink w:history="1" r:id="rIdj56spv3kemead8u7jaun-">
        <w:r>
          <w:rPr>
            <w:rStyle w:val="Hyperlink"/>
            <w:rFonts w:ascii="Didact Gothic" w:cs="Didact Gothic" w:eastAsia="Didact Gothic" w:hAnsi="Didact Gothic"/>
            <w:sz w:val="18"/>
            <w:szCs w:val="18"/>
          </w:rPr>
          <w:t xml:space="preserve">https://embark.law/ag/</w:t>
        </w:r>
      </w:hyperlink>
    </w:p>
    <w:p>
      <w:pPr>
        <w:spacing w:after="60"/>
      </w:pPr>
      <w:r>
        <w:rPr>
          <w:rFonts w:ascii="Didact Gothic" w:cs="Didact Gothic" w:eastAsia="Didact Gothic" w:hAnsi="Didact Gothic"/>
          <w:b/>
          <w:bCs/>
          <w:color w:val="1A120B"/>
          <w:sz w:val="17"/>
          <w:szCs w:val="17"/>
        </w:rPr>
        <w:t xml:space="preserve">16. SwissFirma — </w:t>
      </w:r>
      <w:r>
        <w:rPr>
          <w:rFonts w:ascii="Didact Gothic" w:cs="Didact Gothic" w:eastAsia="Didact Gothic" w:hAnsi="Didact Gothic"/>
          <w:i/>
          <w:iCs/>
          <w:color w:val="7A6E63"/>
          <w:sz w:val="17"/>
          <w:szCs w:val="17"/>
        </w:rPr>
        <w:t xml:space="preserve">AG vs GmbH 2026 </w:t>
      </w:r>
      <w:hyperlink w:history="1" r:id="rIdsyiix_wrvc5g8z_h95cuq">
        <w:r>
          <w:rPr>
            <w:rStyle w:val="Hyperlink"/>
            <w:rFonts w:ascii="Didact Gothic" w:cs="Didact Gothic" w:eastAsia="Didact Gothic" w:hAnsi="Didact Gothic"/>
            <w:sz w:val="18"/>
            <w:szCs w:val="18"/>
          </w:rPr>
          <w:t xml:space="preserve">https://swissfirma.com/ag-vs-gmbh/</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idact Gothic" w:cs="Didact Gothic" w:eastAsia="Didact Gothic" w:hAnsi="Didact Gothic"/>
        <w:color w:val="7A6E6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idact Gothic" w:cs="Didact Gothic" w:eastAsia="Didact Gothic" w:hAnsi="Didact Gothic"/>
        <w:i/>
        <w:iCs/>
        <w:color w:val="7A6E63"/>
        <w:sz w:val="14"/>
        <w:szCs w:val="14"/>
      </w:rPr>
      <w:t xml:space="preserve">L U M I N A  |  Controproposta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idact Gothic" w:cs="Didact Gothic" w:eastAsia="Didact Gothic" w:hAnsi="Didact Gothic"/>
        <w:color w:val="1A12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ormorant Garamond" w:cs="Cormorant Garamond" w:eastAsia="Cormorant Garamond" w:hAnsi="Cormorant Garamond"/>
      <w:b/>
      <w:bCs/>
      <w:color w:val="8B4A2B"/>
      <w:sz w:val="36"/>
      <w:szCs w:val="36"/>
    </w:rPr>
  </w:style>
  <w:style w:type="paragraph" w:styleId="Heading2">
    <w:name w:val="Heading 2"/>
    <w:basedOn w:val="Normal"/>
    <w:next w:val="Normal"/>
    <w:qFormat/>
    <w:pPr>
      <w:spacing w:after="140" w:before="280"/>
      <w:outlineLvl w:val="1"/>
    </w:pPr>
    <w:rPr>
      <w:rFonts w:ascii="Cormorant Garamond" w:cs="Cormorant Garamond" w:eastAsia="Cormorant Garamond" w:hAnsi="Cormorant Garamond"/>
      <w:b/>
      <w:bCs/>
      <w:color w:val="1A120B"/>
      <w:sz w:val="28"/>
      <w:szCs w:val="28"/>
    </w:rPr>
  </w:style>
  <w:style w:type="paragraph" w:styleId="Heading3">
    <w:name w:val="Heading 3"/>
    <w:basedOn w:val="Normal"/>
    <w:next w:val="Normal"/>
    <w:qFormat/>
    <w:pPr>
      <w:spacing w:after="100" w:before="200"/>
      <w:outlineLvl w:val="2"/>
    </w:pPr>
    <w:rPr>
      <w:rFonts w:ascii="Didact Gothic" w:cs="Didact Gothic" w:eastAsia="Didact Gothic" w:hAnsi="Didact Gothic"/>
      <w:b/>
      <w:bCs/>
      <w:color w:val="8B4A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26hzvlgdzwarb4m2grnm" Type="http://schemas.openxmlformats.org/officeDocument/2006/relationships/hyperlink" Target="https://www.mme.ch/en/magazine/articles/phantom-shares-virtual-shareholdings" TargetMode="External"/><Relationship Id="rIdzccszvvgt700pvhrnmzxh" Type="http://schemas.openxmlformats.org/officeDocument/2006/relationships/hyperlink" Target="https://www.lexr.com/en-ch/blog/phantom-share-plan-setup-payouts-benefits/" TargetMode="External"/><Relationship Id="rId9nkwe3qut6jwyshtcihft" Type="http://schemas.openxmlformats.org/officeDocument/2006/relationships/hyperlink" Target="https://swissstartupassociation.ch/2020/11/20/employee-stock-participation-esop/" TargetMode="External"/><Relationship Id="rIdahb4dnyw6j_ihwd8fuwt8" Type="http://schemas.openxmlformats.org/officeDocument/2006/relationships/hyperlink" Target="https://pestalozzilaw.com/en/insights/news/legal-insights/taxation-employee-equity-incentives-switzerland/" TargetMode="External"/><Relationship Id="rIdfxrwzxoeuqvuaw5uukvkc" Type="http://schemas.openxmlformats.org/officeDocument/2006/relationships/hyperlink" Target="https://www.saltox.co/resources/articles/phantom-equity" TargetMode="External"/><Relationship Id="rId-9bfpw7h3gqlferlojvzx" Type="http://schemas.openxmlformats.org/officeDocument/2006/relationships/hyperlink" Target="https://www.lexr.com/en-ch/blog/ag-vs-gmbh-why-the-ag-is-better-suited-for-swiss-high-growth-startups/" TargetMode="External"/><Relationship Id="rIdqs8yfmhtfmeyixuithvbn" Type="http://schemas.openxmlformats.org/officeDocument/2006/relationships/hyperlink" Target="https://embark.law/ag/" TargetMode="External"/><Relationship Id="rIdu9cpmweppjsnoih65aifx" Type="http://schemas.openxmlformats.org/officeDocument/2006/relationships/hyperlink" Target="https://swissfirma.com/ag-vs-gmbh/" TargetMode="External"/><Relationship Id="rIdqzn3oescvzbaq5lvmqngv" Type="http://schemas.openxmlformats.org/officeDocument/2006/relationships/hyperlink" Target="https://www.lexr.com/en-ch/blog/phantom-share-plan-setup-payouts-benefits/" TargetMode="External"/><Relationship Id="rIdcyxffkbptrevvp-hh2r-p" Type="http://schemas.openxmlformats.org/officeDocument/2006/relationships/hyperlink" Target="https://www.mme.ch/en/magazine/articles/phantom-shares-virtual-shareholdings" TargetMode="External"/><Relationship Id="rIdhmx7xpvfgoazvte6f3pae" Type="http://schemas.openxmlformats.org/officeDocument/2006/relationships/hyperlink" Target="https://pestalozzilaw.com/en/insights/news/legal-insights/taxation-employee-equity-incentives-switzerland/" TargetMode="External"/><Relationship Id="rIdzyrtfbhbjwfw1evwa7kac" Type="http://schemas.openxmlformats.org/officeDocument/2006/relationships/hyperlink" Target="https://www.vischer.com/en/knowledge/blog/employee-participation-part-1-40236/" TargetMode="External"/><Relationship Id="rIdtlsxxbhkc2sfnfd6zyedr" Type="http://schemas.openxmlformats.org/officeDocument/2006/relationships/hyperlink" Target="https://www.walderwyss.com/assets/content/publications/Employee-share-plans-in-Switzerland-regulatory-overview.pdf" TargetMode="External"/><Relationship Id="rIdkh5vkjw1shn9g497jcpvx" Type="http://schemas.openxmlformats.org/officeDocument/2006/relationships/hyperlink" Target="https://www.konsento.ch/en/post/employee-participation-in-switzerland-advantages-of-phantom-shares-and-participation-certificates" TargetMode="External"/><Relationship Id="rIdzzzx9lvkcdwanvkbyao0k" Type="http://schemas.openxmlformats.org/officeDocument/2006/relationships/hyperlink" Target="https://swissstartupassociation.ch/2020/11/20/employee-stock-participation-esop/" TargetMode="External"/><Relationship Id="rIdmaexemiqk2tqtcucvv7p_" Type="http://schemas.openxmlformats.org/officeDocument/2006/relationships/hyperlink" Target="https://ledgy.com/blog/esop-vs-psop" TargetMode="External"/><Relationship Id="rId_kcnxmgm6de5wh0lt5pry" Type="http://schemas.openxmlformats.org/officeDocument/2006/relationships/hyperlink" Target="https://www.jpmorgan.com/insights/business-planning/understanding-phantom-equity-and-stock-plans-for-startups" TargetMode="External"/><Relationship Id="rIdptntcsxom6hfblt52zhdv" Type="http://schemas.openxmlformats.org/officeDocument/2006/relationships/hyperlink" Target="https://www.saltox.co/resources/articles/phantom-equity" TargetMode="External"/><Relationship Id="rIdpv8o3ugixgivzu5pwvosa" Type="http://schemas.openxmlformats.org/officeDocument/2006/relationships/hyperlink" Target="https://www.hbs.edu/faculty/Pages/item.aspx?num=27626" TargetMode="External"/><Relationship Id="rIdsorqnw599lq8qfz00yhww" Type="http://schemas.openxmlformats.org/officeDocument/2006/relationships/hyperlink" Target="https://www.gaia.law/resources/esopvsvsop" TargetMode="External"/><Relationship Id="rId-nc8fiknnrc8olcxksgd3" Type="http://schemas.openxmlformats.org/officeDocument/2006/relationships/hyperlink" Target="https://www.lexr.com/en-ch/blog/ag-vs-gmbh-why-the-ag-is-better-suited-for-swiss-high-growth-startups/" TargetMode="External"/><Relationship Id="rIdj56spv3kemead8u7jaun-" Type="http://schemas.openxmlformats.org/officeDocument/2006/relationships/hyperlink" Target="https://embark.law/ag/" TargetMode="External"/><Relationship Id="rIdsyiix_wrvc5g8z_h95cuq" Type="http://schemas.openxmlformats.org/officeDocument/2006/relationships/hyperlink" Target="https://swissfirma.com/ag-vs-gmbh/"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2026-03-29T22:35:52.273Z</dcterms:created>
  <dcterms:modified xsi:type="dcterms:W3CDTF">2026-03-29T22:35:52.273Z</dcterms:modified>
</cp:coreProperties>
</file>

<file path=docProps/custom.xml><?xml version="1.0" encoding="utf-8"?>
<Properties xmlns="http://schemas.openxmlformats.org/officeDocument/2006/custom-properties" xmlns:vt="http://schemas.openxmlformats.org/officeDocument/2006/docPropsVTypes"/>
</file>