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jc w:val="left"/>
      </w:pPr>
      <w:r>
        <w:rPr>
          <w:rFonts w:ascii="Georgia" w:cs="Georgia" w:eastAsia="Georgia" w:hAnsi="Georgia"/>
          <w:b/>
          <w:bCs/>
          <w:color w:val="8B4A2B"/>
          <w:sz w:val="56"/>
          <w:szCs w:val="56"/>
        </w:rPr>
        <w:t xml:space="preserve">LUMINA</w:t>
      </w:r>
    </w:p>
    <w:p>
      <w:pPr>
        <w:spacing w:after="0" w:before="200"/>
      </w:pPr>
    </w:p>
    <w:p>
      <w:pPr>
        <w:pBdr>
          <w:bottom w:val="single" w:color="C9A96E" w:sz="6" w:space="1"/>
        </w:pBdr>
        <w:spacing w:after="400"/>
        <w:jc w:val="left"/>
      </w:pPr>
      <w:r>
        <w:rPr>
          <w:rFonts w:ascii="Georgia" w:cs="Georgia" w:eastAsia="Georgia" w:hAnsi="Georgia"/>
          <w:color w:val="1A120B"/>
          <w:sz w:val="44"/>
          <w:szCs w:val="44"/>
        </w:rPr>
        <w:t xml:space="preserve">Phantom Share Plan (PSOP)</w:t>
      </w:r>
    </w:p>
    <w:p>
      <w:pPr>
        <w:jc w:val="left"/>
      </w:pPr>
      <w:r>
        <w:rPr>
          <w:rFonts w:ascii="Arial" w:cs="Arial" w:eastAsia="Arial" w:hAnsi="Arial"/>
          <w:color w:val="666666"/>
          <w:sz w:val="26"/>
          <w:szCs w:val="26"/>
        </w:rPr>
        <w:t xml:space="preserve">A Reference Guide for the Founding Team</w:t>
      </w:r>
    </w:p>
    <w:p>
      <w:pPr>
        <w:spacing w:after="0" w:before="200"/>
      </w:pPr>
    </w:p>
    <w:p>
      <w:r>
        <w:rPr>
          <w:rFonts w:ascii="Arial" w:cs="Arial" w:eastAsia="Arial" w:hAnsi="Arial"/>
          <w:i/>
          <w:iCs/>
          <w:color w:val="666666"/>
          <w:sz w:val="22"/>
          <w:szCs w:val="22"/>
        </w:rPr>
        <w:t xml:space="preserve">What it is, how it works under Swiss law, why it matters for Lumina, and how other European startups use it to attract and retain talent without diluting the cap table.</w:t>
      </w:r>
    </w:p>
    <w:p>
      <w:pPr>
        <w:spacing w:after="0" w:before="1200"/>
      </w:pPr>
    </w:p>
    <w:p>
      <w:r>
        <w:rPr>
          <w:rFonts w:ascii="Arial" w:cs="Arial" w:eastAsia="Arial" w:hAnsi="Arial"/>
          <w:color w:val="666666"/>
          <w:sz w:val="20"/>
          <w:szCs w:val="20"/>
        </w:rPr>
        <w:t xml:space="preserve">Prepared by Marco Di Cesare  ·  March 2026</w:t>
      </w:r>
    </w:p>
    <w:p>
      <w:r>
        <w:rPr>
          <w:rFonts w:ascii="Arial" w:cs="Arial" w:eastAsia="Arial" w:hAnsi="Arial"/>
          <w:b/>
          <w:bCs/>
          <w:color w:val="C17F59"/>
          <w:sz w:val="18"/>
          <w:szCs w:val="18"/>
        </w:rPr>
        <w:t xml:space="preserve">CONFIDENTIAL  ·  FOR INTERNAL USE ONLY</w:t>
      </w:r>
    </w:p>
    <w:p>
      <w:pPr>
        <w:sectPr>
          <w:pgSz w:w="11906" w:h="16838" w:orient="portrait"/>
          <w:pgMar w:top="2880" w:right="1440" w:bottom="1440" w:left="1440" w:header="708" w:footer="708" w:gutter="0"/>
          <w:pgNumType/>
          <w:docGrid w:linePitch="360"/>
        </w:sectPr>
      </w:pPr>
    </w:p>
    <w:p>
      <w:pPr>
        <w:pStyle w:val="Heading1"/>
      </w:pPr>
      <w:r>
        <w:t xml:space="preserve">1. Executive Summary</w:t>
      </w:r>
    </w:p>
    <w:p>
      <w:pPr>
        <w:spacing w:after="200"/>
      </w:pPr>
      <w:r>
        <w:t xml:space="preserve">This document provides a comprehensive reference on </w:t>
      </w:r>
      <w:r>
        <w:rPr>
          <w:b/>
          <w:bCs/>
        </w:rPr>
        <w:t xml:space="preserve">Phantom Share Plans (PSOPs)</w:t>
      </w:r>
      <w:r>
        <w:t xml:space="preserve"> — a contractual employee participation mechanism widely used across European startups to align employee incentives with company success </w:t>
      </w:r>
      <w:r>
        <w:rPr>
          <w:b/>
          <w:bCs/>
        </w:rPr>
        <w:t xml:space="preserve">without diluting the cap table or granting voting rights.</w:t>
      </w:r>
      <w:r>
        <w:rPr>
          <w:rStyle w:val="FootnoteReference"/>
        </w:rPr>
        <w:footnoteReference w:id="1"/>
      </w:r>
    </w:p>
    <w:p>
      <w:pPr>
        <w:spacing w:after="200"/>
      </w:pPr>
      <w:r>
        <w:t xml:space="preserve">For Lumina, we propose using a PSOP for the employee pool (5% economic equivalent) while keeping the founding team’s equity as real shares (Aktien). This approach delivers three key benefits: a clean cap table with only three shareholders visible to investors, meaningful economic upside for employees that drives retention, and zero administrative overhead from capital increases or notary meetings when granting equity to new hires.</w:t>
      </w:r>
    </w:p>
    <w:p>
      <w:pPr>
        <w:spacing w:after="200"/>
      </w:pPr>
      <w:r>
        <w:t xml:space="preserve">The structure proposed in this document is backed by guidance from six Swiss law firms (LEXR, MME, Pestalozzi, VISCHER, Walder Wyss, Konsento), the Swiss Federal Tax Administration’s Circular Letter No. 37</w:t>
      </w:r>
      <w:r>
        <w:rPr>
          <w:rStyle w:val="FootnoteReference"/>
        </w:rPr>
        <w:footnoteReference w:id="6"/>
      </w:r>
      <w:r>
        <w:t xml:space="preserve">, the Swiss Startup Association</w:t>
      </w:r>
      <w:r>
        <w:rPr>
          <w:rStyle w:val="FootnoteReference"/>
        </w:rPr>
        <w:footnoteReference w:id="12"/>
      </w:r>
      <w:r>
        <w:t xml:space="preserve">, and international references including J.P. Morgan</w:t>
      </w:r>
      <w:r>
        <w:rPr>
          <w:rStyle w:val="FootnoteReference"/>
        </w:rPr>
        <w:footnoteReference w:id="9"/>
      </w:r>
      <w:r>
        <w:t xml:space="preserve">, Harvard Business School</w:t>
      </w:r>
      <w:r>
        <w:rPr>
          <w:rStyle w:val="FootnoteReference"/>
        </w:rPr>
        <w:footnoteReference w:id="13"/>
      </w:r>
      <w:r>
        <w:t xml:space="preserve">, and the National Center for Employee Ownership (NCEO).</w:t>
      </w:r>
      <w:r>
        <w:rPr>
          <w:rStyle w:val="FootnoteReference"/>
        </w:rPr>
        <w:footnoteReference w:id="10"/>
      </w:r>
    </w:p>
    <w:p>
      <w:pPr>
        <w:pStyle w:val="Heading1"/>
      </w:pPr>
      <w:r>
        <w:t xml:space="preserve">2. What Is a Phantom Share?</w:t>
      </w:r>
    </w:p>
    <w:p>
      <w:pPr>
        <w:spacing w:after="200"/>
      </w:pPr>
      <w:r>
        <w:t xml:space="preserve">A phantom share is a </w:t>
      </w:r>
      <w:r>
        <w:rPr>
          <w:b/>
          <w:bCs/>
        </w:rPr>
        <w:t xml:space="preserve">contractual promise</w:t>
      </w:r>
      <w:r>
        <w:t xml:space="preserve"> — not an actual share — that entitles an employee to a cash payment tied to the company’s value at a future liquidity event (sale, IPO, or acquisition).</w:t>
      </w:r>
      <w:r>
        <w:rPr>
          <w:rStyle w:val="FootnoteReference"/>
        </w:rPr>
        <w:footnoteReference w:id="2"/>
      </w:r>
    </w:p>
    <w:p>
      <w:pPr>
        <w:spacing w:after="200"/>
      </w:pPr>
      <w:r>
        <w:t xml:space="preserve">As MME Legal (Zurich) defines it: “The phantom share is a virtual participation that mirrors the value of a share and puts the beneficiary on an equal footing with a shareholder in terms of financial rights.”</w:t>
      </w:r>
      <w:r>
        <w:rPr>
          <w:rStyle w:val="FootnoteReference"/>
        </w:rPr>
        <w:footnoteReference w:id="2"/>
      </w:r>
      <w:r>
        <w:t xml:space="preserve"> The holder receives the economic upside of ownership without appearing on the cap table, without receiving voting rights, and without requiring a capital increase.</w:t>
      </w:r>
    </w:p>
    <w:p>
      <w:pPr>
        <w:spacing w:after="200"/>
      </w:pPr>
      <w:r>
        <w:t xml:space="preserve">The Swiss law firm VISCHER classifies phantom stocks as “non-direct participations”: “fictitious equity securities that reflect the value of a specific share and place their holders on an equal footing with shareholders in terms of ownership rights, but not in terms of participation rights.”</w:t>
      </w:r>
      <w:r>
        <w:rPr>
          <w:rStyle w:val="FootnoteReference"/>
        </w:rPr>
        <w:footnoteReference w:id="4"/>
      </w:r>
    </w:p>
    <w:p>
      <w:pPr>
        <w:spacing w:after="200"/>
      </w:pPr>
      <w:r>
        <w:t xml:space="preserve">Konsento AG (Zurich) adds a critical distinction: “Neither phantom shares nor participation certificates grant voting rights to their holder.” However, unlike participation certificates (which require formal capital increases and notarization under Swiss Code of Obligations Art. 656a–f</w:t>
      </w:r>
      <w:r>
        <w:rPr>
          <w:rStyle w:val="FootnoteReference"/>
        </w:rPr>
        <w:footnoteReference w:id="15"/>
      </w:r>
      <w:r>
        <w:t xml:space="preserve">), phantom shares require only a board resolution and a contractual agreement.</w:t>
      </w:r>
      <w:r>
        <w:rPr>
          <w:rStyle w:val="FootnoteReference"/>
        </w:rPr>
        <w:footnoteReference w:id="7"/>
      </w:r>
    </w:p>
    <w:p>
      <w:pPr>
        <w:pStyle w:val="Heading2"/>
      </w:pPr>
      <w:r>
        <w:t xml:space="preserve">Key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Arial" w:cs="Arial" w:eastAsia="Arial" w:hAnsi="Arial"/>
                <w:b/>
                <w:bCs/>
                <w:color w:val="FFFFFF"/>
                <w:sz w:val="18"/>
                <w:szCs w:val="18"/>
              </w:rPr>
              <w:t xml:space="preserve">Characteristic</w:t>
            </w:r>
          </w:p>
        </w:tc>
        <w:tc>
          <w:tcPr>
            <w:tcW w:type="dxa" w:w="6026"/>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0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bCs/>
                <w:color w:val="1A120B"/>
                <w:sz w:val="18"/>
                <w:szCs w:val="18"/>
              </w:rPr>
              <w:t xml:space="preserve">Legal nature</w:t>
            </w:r>
          </w:p>
        </w:tc>
        <w:tc>
          <w:tcPr>
            <w:tcW w:type="dxa" w:w="60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val="false"/>
                <w:bCs w:val="false"/>
                <w:color w:val="1A120B"/>
                <w:sz w:val="18"/>
                <w:szCs w:val="18"/>
              </w:rPr>
              <w:t xml:space="preserve">Contractual obligation, not a security</w:t>
            </w:r>
          </w:p>
        </w:tc>
      </w:tr>
      <w:tr>
        <w:tc>
          <w:tcPr>
            <w:tcW w:type="dxa" w:w="3000"/>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bCs/>
                <w:color w:val="1A120B"/>
                <w:sz w:val="18"/>
                <w:szCs w:val="18"/>
              </w:rPr>
              <w:t xml:space="preserve">Ownership</w:t>
            </w:r>
          </w:p>
        </w:tc>
        <w:tc>
          <w:tcPr>
            <w:tcW w:type="dxa" w:w="6026"/>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val="false"/>
                <w:bCs w:val="false"/>
                <w:color w:val="1A120B"/>
                <w:sz w:val="18"/>
                <w:szCs w:val="18"/>
              </w:rPr>
              <w:t xml:space="preserve">None — holder is not a shareholder and does not appear on the cap table</w:t>
            </w:r>
          </w:p>
        </w:tc>
      </w:tr>
      <w:tr>
        <w:tc>
          <w:tcPr>
            <w:tcW w:type="dxa" w:w="30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bCs/>
                <w:color w:val="1A120B"/>
                <w:sz w:val="18"/>
                <w:szCs w:val="18"/>
              </w:rPr>
              <w:t xml:space="preserve">Voting rights</w:t>
            </w:r>
          </w:p>
        </w:tc>
        <w:tc>
          <w:tcPr>
            <w:tcW w:type="dxa" w:w="60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val="false"/>
                <w:bCs w:val="false"/>
                <w:color w:val="1A120B"/>
                <w:sz w:val="18"/>
                <w:szCs w:val="18"/>
              </w:rPr>
              <w:t xml:space="preserve">None</w:t>
            </w:r>
          </w:p>
        </w:tc>
      </w:tr>
      <w:tr>
        <w:tc>
          <w:tcPr>
            <w:tcW w:type="dxa" w:w="3000"/>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bCs/>
                <w:color w:val="1A120B"/>
                <w:sz w:val="18"/>
                <w:szCs w:val="18"/>
              </w:rPr>
              <w:t xml:space="preserve">Dilution</w:t>
            </w:r>
          </w:p>
        </w:tc>
        <w:tc>
          <w:tcPr>
            <w:tcW w:type="dxa" w:w="6026"/>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val="false"/>
                <w:bCs w:val="false"/>
                <w:color w:val="1A120B"/>
                <w:sz w:val="18"/>
                <w:szCs w:val="18"/>
              </w:rPr>
              <w:t xml:space="preserve">Zero cap table dilution — economic cost comes off purchase price at exit, shared proportionally by all real shareholders</w:t>
            </w:r>
          </w:p>
        </w:tc>
      </w:tr>
      <w:tr>
        <w:tc>
          <w:tcPr>
            <w:tcW w:type="dxa" w:w="30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bCs/>
                <w:color w:val="1A120B"/>
                <w:sz w:val="18"/>
                <w:szCs w:val="18"/>
              </w:rPr>
              <w:t xml:space="preserve">Payout trigger</w:t>
            </w:r>
          </w:p>
        </w:tc>
        <w:tc>
          <w:tcPr>
            <w:tcW w:type="dxa" w:w="60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val="false"/>
                <w:bCs w:val="false"/>
                <w:color w:val="1A120B"/>
                <w:sz w:val="18"/>
                <w:szCs w:val="18"/>
              </w:rPr>
              <w:t xml:space="preserve">Liquidity event: acquisition, IPO, or contractually defined buyback</w:t>
            </w:r>
          </w:p>
        </w:tc>
      </w:tr>
      <w:tr>
        <w:tc>
          <w:tcPr>
            <w:tcW w:type="dxa" w:w="3000"/>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bCs/>
                <w:color w:val="1A120B"/>
                <w:sz w:val="18"/>
                <w:szCs w:val="18"/>
              </w:rPr>
              <w:t xml:space="preserve">Settlement</w:t>
            </w:r>
          </w:p>
        </w:tc>
        <w:tc>
          <w:tcPr>
            <w:tcW w:type="dxa" w:w="6026"/>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val="false"/>
                <w:bCs w:val="false"/>
                <w:color w:val="1A120B"/>
                <w:sz w:val="18"/>
                <w:szCs w:val="18"/>
              </w:rPr>
              <w:t xml:space="preserve">Cash — paid from acquisition proceeds at exit</w:t>
            </w:r>
          </w:p>
        </w:tc>
      </w:tr>
      <w:tr>
        <w:tc>
          <w:tcPr>
            <w:tcW w:type="dxa" w:w="30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bCs/>
                <w:color w:val="1A120B"/>
                <w:sz w:val="18"/>
                <w:szCs w:val="18"/>
              </w:rPr>
              <w:t xml:space="preserve">Tax timing</w:t>
            </w:r>
          </w:p>
        </w:tc>
        <w:tc>
          <w:tcPr>
            <w:tcW w:type="dxa" w:w="60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val="false"/>
                <w:bCs w:val="false"/>
                <w:color w:val="1A120B"/>
                <w:sz w:val="18"/>
                <w:szCs w:val="18"/>
              </w:rPr>
              <w:t xml:space="preserve">No tax at grant or vesting. Taxed as employment income only at payout, when employee has liquidity</w:t>
            </w:r>
          </w:p>
        </w:tc>
      </w:tr>
      <w:tr>
        <w:tc>
          <w:tcPr>
            <w:tcW w:type="dxa" w:w="3000"/>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bCs/>
                <w:color w:val="1A120B"/>
                <w:sz w:val="18"/>
                <w:szCs w:val="18"/>
              </w:rPr>
              <w:t xml:space="preserve">Implementation</w:t>
            </w:r>
          </w:p>
        </w:tc>
        <w:tc>
          <w:tcPr>
            <w:tcW w:type="dxa" w:w="6026"/>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val="false"/>
                <w:bCs w:val="false"/>
                <w:color w:val="1A120B"/>
                <w:sz w:val="18"/>
                <w:szCs w:val="18"/>
              </w:rPr>
              <w:t xml:space="preserve">Board resolution + contractual agreement. No notary, no General Meeting, no commercial register entry</w:t>
            </w:r>
          </w:p>
        </w:tc>
      </w:tr>
      <w:tr>
        <w:tc>
          <w:tcPr>
            <w:tcW w:type="dxa" w:w="30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bCs/>
                <w:color w:val="1A120B"/>
                <w:sz w:val="18"/>
                <w:szCs w:val="18"/>
              </w:rPr>
              <w:t xml:space="preserve">Vesting</w:t>
            </w:r>
          </w:p>
        </w:tc>
        <w:tc>
          <w:tcPr>
            <w:tcW w:type="dxa" w:w="60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val="false"/>
                <w:bCs w:val="false"/>
                <w:color w:val="1A120B"/>
                <w:sz w:val="18"/>
                <w:szCs w:val="18"/>
              </w:rPr>
              <w:t xml:space="preserve">Market standard: 4 years, 1-year cliff (per LEXR, Ledgy, and Swiss Startup Association)</w:t>
            </w:r>
          </w:p>
        </w:tc>
      </w:tr>
    </w:tbl>
    <w:p>
      <w:r>
        <w:br w:type="page"/>
      </w:r>
    </w:p>
    <w:p>
      <w:pPr>
        <w:pStyle w:val="Heading1"/>
      </w:pPr>
      <w:r>
        <w:t xml:space="preserve">3. PSOP vs. ESOP: Side-by-Side Comparison</w:t>
      </w:r>
    </w:p>
    <w:p>
      <w:pPr>
        <w:spacing w:after="200"/>
      </w:pPr>
      <w:r>
        <w:t xml:space="preserve">The fundamental difference, as LEXR states: “The key difference to an ESOP is that the participants of the PSOP do not become shareholders of the company. Instead, they receive a contractual right to receive a cash payment upon the occurrence of certain trigger events.”</w:t>
      </w:r>
      <w:r>
        <w:rPr>
          <w:rStyle w:val="FootnoteReference"/>
        </w:rPr>
        <w:footnoteReference w:id="1"/>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31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Arial" w:cs="Arial" w:eastAsia="Arial" w:hAnsi="Arial"/>
                <w:b/>
                <w:bCs/>
                <w:color w:val="FFFFFF"/>
                <w:sz w:val="18"/>
                <w:szCs w:val="18"/>
              </w:rPr>
              <w:t xml:space="preserve">ESOP (Real Shares)</w:t>
            </w:r>
          </w:p>
        </w:tc>
        <w:tc>
          <w:tcPr>
            <w:tcW w:type="dxa" w:w="331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Arial" w:cs="Arial" w:eastAsia="Arial" w:hAnsi="Arial"/>
                <w:b/>
                <w:bCs/>
                <w:color w:val="FFFFFF"/>
                <w:sz w:val="18"/>
                <w:szCs w:val="18"/>
              </w:rPr>
              <w:t xml:space="preserve">PSOP (Phantom Shares)</w:t>
            </w:r>
          </w:p>
        </w:tc>
      </w:tr>
      <w:tr>
        <w:tc>
          <w:tcPr>
            <w:tcW w:type="dxa" w:w="24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bCs/>
                <w:color w:val="1A120B"/>
                <w:sz w:val="18"/>
                <w:szCs w:val="18"/>
              </w:rPr>
              <w:t xml:space="preserve">What employee gets</w:t>
            </w:r>
          </w:p>
        </w:tc>
        <w:tc>
          <w:tcPr>
            <w:tcW w:type="dxa" w:w="33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val="false"/>
                <w:bCs w:val="false"/>
                <w:color w:val="1A120B"/>
                <w:sz w:val="18"/>
                <w:szCs w:val="18"/>
              </w:rPr>
              <w:t xml:space="preserve">Actual shares in the company</w:t>
            </w:r>
          </w:p>
        </w:tc>
        <w:tc>
          <w:tcPr>
            <w:tcW w:type="dxa" w:w="33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val="false"/>
                <w:bCs w:val="false"/>
                <w:color w:val="1A120B"/>
                <w:sz w:val="18"/>
                <w:szCs w:val="18"/>
              </w:rPr>
              <w:t xml:space="preserve">Contractual right to cash payout at exit</w:t>
            </w:r>
          </w:p>
        </w:tc>
      </w:tr>
      <w:tr>
        <w:tc>
          <w:tcPr>
            <w:tcW w:type="dxa" w:w="2400"/>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bCs/>
                <w:color w:val="1A120B"/>
                <w:sz w:val="18"/>
                <w:szCs w:val="18"/>
              </w:rPr>
              <w:t xml:space="preserve">Cap table impact</w:t>
            </w:r>
          </w:p>
        </w:tc>
        <w:tc>
          <w:tcPr>
            <w:tcW w:type="dxa" w:w="3313"/>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val="false"/>
                <w:bCs w:val="false"/>
                <w:color w:val="1A120B"/>
                <w:sz w:val="18"/>
                <w:szCs w:val="18"/>
              </w:rPr>
              <w:t xml:space="preserve">Dilutes all existing shareholders</w:t>
            </w:r>
          </w:p>
        </w:tc>
        <w:tc>
          <w:tcPr>
            <w:tcW w:type="dxa" w:w="3313"/>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val="false"/>
                <w:bCs w:val="false"/>
                <w:color w:val="1A120B"/>
                <w:sz w:val="18"/>
                <w:szCs w:val="18"/>
              </w:rPr>
              <w:t xml:space="preserve">Zero dilution — not on cap table</w:t>
            </w:r>
          </w:p>
        </w:tc>
      </w:tr>
      <w:tr>
        <w:tc>
          <w:tcPr>
            <w:tcW w:type="dxa" w:w="24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bCs/>
                <w:color w:val="1A120B"/>
                <w:sz w:val="18"/>
                <w:szCs w:val="18"/>
              </w:rPr>
              <w:t xml:space="preserve">Voting rights</w:t>
            </w:r>
          </w:p>
        </w:tc>
        <w:tc>
          <w:tcPr>
            <w:tcW w:type="dxa" w:w="33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val="false"/>
                <w:bCs w:val="false"/>
                <w:color w:val="1A120B"/>
                <w:sz w:val="18"/>
                <w:szCs w:val="18"/>
              </w:rPr>
              <w:t xml:space="preserve">Yes</w:t>
            </w:r>
          </w:p>
        </w:tc>
        <w:tc>
          <w:tcPr>
            <w:tcW w:type="dxa" w:w="33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val="false"/>
                <w:bCs w:val="false"/>
                <w:color w:val="1A120B"/>
                <w:sz w:val="18"/>
                <w:szCs w:val="18"/>
              </w:rPr>
              <w:t xml:space="preserve">None</w:t>
            </w:r>
          </w:p>
        </w:tc>
      </w:tr>
      <w:tr>
        <w:tc>
          <w:tcPr>
            <w:tcW w:type="dxa" w:w="2400"/>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bCs/>
                <w:color w:val="1A120B"/>
                <w:sz w:val="18"/>
                <w:szCs w:val="18"/>
              </w:rPr>
              <w:t xml:space="preserve">Tax at grant</w:t>
            </w:r>
          </w:p>
        </w:tc>
        <w:tc>
          <w:tcPr>
            <w:tcW w:type="dxa" w:w="3313"/>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val="false"/>
                <w:bCs w:val="false"/>
                <w:color w:val="1A120B"/>
                <w:sz w:val="18"/>
                <w:szCs w:val="18"/>
              </w:rPr>
              <w:t xml:space="preserve">Taxable on difference between FMV and purchase price</w:t>
            </w:r>
          </w:p>
        </w:tc>
        <w:tc>
          <w:tcPr>
            <w:tcW w:type="dxa" w:w="3313"/>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val="false"/>
                <w:bCs w:val="false"/>
                <w:color w:val="1A120B"/>
                <w:sz w:val="18"/>
                <w:szCs w:val="18"/>
              </w:rPr>
              <w:t xml:space="preserve">No tax</w:t>
            </w:r>
          </w:p>
        </w:tc>
      </w:tr>
      <w:tr>
        <w:tc>
          <w:tcPr>
            <w:tcW w:type="dxa" w:w="24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bCs/>
                <w:color w:val="1A120B"/>
                <w:sz w:val="18"/>
                <w:szCs w:val="18"/>
              </w:rPr>
              <w:t xml:space="preserve">Tax at exit</w:t>
            </w:r>
          </w:p>
        </w:tc>
        <w:tc>
          <w:tcPr>
            <w:tcW w:type="dxa" w:w="33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val="false"/>
                <w:bCs w:val="false"/>
                <w:color w:val="1A120B"/>
                <w:sz w:val="18"/>
                <w:szCs w:val="18"/>
              </w:rPr>
              <w:t xml:space="preserve">Tax-free capital gain (after conditions met)</w:t>
            </w:r>
          </w:p>
        </w:tc>
        <w:tc>
          <w:tcPr>
            <w:tcW w:type="dxa" w:w="33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val="false"/>
                <w:bCs w:val="false"/>
                <w:color w:val="1A120B"/>
                <w:sz w:val="18"/>
                <w:szCs w:val="18"/>
              </w:rPr>
              <w:t xml:space="preserve">Ordinary employment income</w:t>
            </w:r>
          </w:p>
        </w:tc>
      </w:tr>
      <w:tr>
        <w:tc>
          <w:tcPr>
            <w:tcW w:type="dxa" w:w="2400"/>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bCs/>
                <w:color w:val="1A120B"/>
                <w:sz w:val="18"/>
                <w:szCs w:val="18"/>
              </w:rPr>
              <w:t xml:space="preserve">Implementation</w:t>
            </w:r>
          </w:p>
        </w:tc>
        <w:tc>
          <w:tcPr>
            <w:tcW w:type="dxa" w:w="3313"/>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val="false"/>
                <w:bCs w:val="false"/>
                <w:color w:val="1A120B"/>
                <w:sz w:val="18"/>
                <w:szCs w:val="18"/>
              </w:rPr>
              <w:t xml:space="preserve">Capital increase, notary, General Meeting, commercial register</w:t>
            </w:r>
          </w:p>
        </w:tc>
        <w:tc>
          <w:tcPr>
            <w:tcW w:type="dxa" w:w="3313"/>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val="false"/>
                <w:bCs w:val="false"/>
                <w:color w:val="1A120B"/>
                <w:sz w:val="18"/>
                <w:szCs w:val="18"/>
              </w:rPr>
              <w:t xml:space="preserve">Board resolution + contract. Done in days</w:t>
            </w:r>
          </w:p>
        </w:tc>
      </w:tr>
      <w:tr>
        <w:tc>
          <w:tcPr>
            <w:tcW w:type="dxa" w:w="24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bCs/>
                <w:color w:val="1A120B"/>
                <w:sz w:val="18"/>
                <w:szCs w:val="18"/>
              </w:rPr>
              <w:t xml:space="preserve">Cost to employee</w:t>
            </w:r>
          </w:p>
        </w:tc>
        <w:tc>
          <w:tcPr>
            <w:tcW w:type="dxa" w:w="33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val="false"/>
                <w:bCs w:val="false"/>
                <w:color w:val="1A120B"/>
                <w:sz w:val="18"/>
                <w:szCs w:val="18"/>
              </w:rPr>
              <w:t xml:space="preserve">May need to pay exercise price</w:t>
            </w:r>
          </w:p>
        </w:tc>
        <w:tc>
          <w:tcPr>
            <w:tcW w:type="dxa" w:w="33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val="false"/>
                <w:bCs w:val="false"/>
                <w:color w:val="1A120B"/>
                <w:sz w:val="18"/>
                <w:szCs w:val="18"/>
              </w:rPr>
              <w:t xml:space="preserve">Zero cost to acquire</w:t>
            </w:r>
          </w:p>
        </w:tc>
      </w:tr>
      <w:tr>
        <w:tc>
          <w:tcPr>
            <w:tcW w:type="dxa" w:w="2400"/>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bCs/>
                <w:color w:val="1A120B"/>
                <w:sz w:val="18"/>
                <w:szCs w:val="18"/>
              </w:rPr>
              <w:t xml:space="preserve">Investor perception</w:t>
            </w:r>
          </w:p>
        </w:tc>
        <w:tc>
          <w:tcPr>
            <w:tcW w:type="dxa" w:w="3313"/>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val="false"/>
                <w:bCs w:val="false"/>
                <w:color w:val="1A120B"/>
                <w:sz w:val="18"/>
                <w:szCs w:val="18"/>
              </w:rPr>
              <w:t xml:space="preserve">Standard but adds cap table complexity</w:t>
            </w:r>
          </w:p>
        </w:tc>
        <w:tc>
          <w:tcPr>
            <w:tcW w:type="dxa" w:w="3313"/>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val="false"/>
                <w:bCs w:val="false"/>
                <w:color w:val="1A120B"/>
                <w:sz w:val="18"/>
                <w:szCs w:val="18"/>
              </w:rPr>
              <w:t xml:space="preserve">Preferred by many VCs — clean cap table</w:t>
            </w:r>
          </w:p>
        </w:tc>
      </w:tr>
    </w:tbl>
    <w:p>
      <w:pPr>
        <w:spacing w:after="0" w:before="200"/>
      </w:pPr>
    </w:p>
    <w:p>
      <w:pPr>
        <w:spacing w:after="200"/>
      </w:pPr>
      <w:r>
        <w:rPr>
          <w:i/>
          <w:iCs/>
          <w:color w:val="666666"/>
        </w:rPr>
        <w:t xml:space="preserve">Source: </w:t>
      </w:r>
      <w:r>
        <w:rPr>
          <w:i/>
          <w:iCs/>
          <w:color w:val="666666"/>
        </w:rPr>
        <w:t xml:space="preserve">Compiled from Ledgy</w:t>
      </w:r>
      <w:r>
        <w:rPr>
          <w:rStyle w:val="FootnoteReference"/>
        </w:rPr>
        <w:footnoteReference w:id="8"/>
      </w:r>
      <w:r>
        <w:rPr>
          <w:i/>
          <w:iCs/>
          <w:color w:val="666666"/>
        </w:rPr>
        <w:t xml:space="preserve">, LEXR</w:t>
      </w:r>
      <w:r>
        <w:rPr>
          <w:rStyle w:val="FootnoteReference"/>
        </w:rPr>
        <w:footnoteReference w:id="1"/>
      </w:r>
      <w:r>
        <w:rPr>
          <w:i/>
          <w:iCs/>
          <w:color w:val="666666"/>
        </w:rPr>
        <w:t xml:space="preserve">, Pestalozzi</w:t>
      </w:r>
      <w:r>
        <w:rPr>
          <w:rStyle w:val="FootnoteReference"/>
        </w:rPr>
        <w:footnoteReference w:id="3"/>
      </w:r>
      <w:r>
        <w:rPr>
          <w:i/>
          <w:iCs/>
          <w:color w:val="666666"/>
        </w:rPr>
        <w:t xml:space="preserve">, and VISCHER.</w:t>
      </w:r>
      <w:r>
        <w:rPr>
          <w:rStyle w:val="FootnoteReference"/>
        </w:rPr>
        <w:footnoteReference w:id="4"/>
      </w:r>
    </w:p>
    <w:p>
      <w:pPr>
        <w:pStyle w:val="Heading1"/>
      </w:pPr>
      <w:r>
        <w:t xml:space="preserve">4. Swiss Tax Treatment</w:t>
      </w:r>
    </w:p>
    <w:p>
      <w:pPr>
        <w:spacing w:after="200"/>
      </w:pPr>
      <w:r>
        <w:t xml:space="preserve">The Swiss Federal Tax Administration’s </w:t>
      </w:r>
      <w:r>
        <w:rPr>
          <w:b/>
          <w:bCs/>
        </w:rPr>
        <w:t xml:space="preserve">Circular Letter No. 37 “Taxation of Employee Participations”</w:t>
      </w:r>
      <w:r>
        <w:t xml:space="preserve"> (amended October 30, 2020, effective January 1, 2021) provides the canonical framework.</w:t>
      </w:r>
      <w:r>
        <w:rPr>
          <w:rStyle w:val="FootnoteReference"/>
        </w:rPr>
        <w:footnoteReference w:id="6"/>
      </w:r>
    </w:p>
    <w:p>
      <w:pPr>
        <w:spacing w:after="200"/>
      </w:pPr>
      <w:r>
        <w:t xml:space="preserve">Phantom shares are classified as </w:t>
      </w:r>
      <w:r>
        <w:rPr>
          <w:b/>
          <w:bCs/>
        </w:rPr>
        <w:t xml:space="preserve">“non-genuine” employee participations</w:t>
      </w:r>
      <w:r>
        <w:t xml:space="preserve"> (unechte Mitarbeiterbeteiligungen). As Pestalozzi Attorneys (Zurich) explains: “Incentives derived from non-genuine employee participations are taxed only upon realization/exercise, with the entire benefit being taxed once the employee receives a cash settlement.”</w:t>
      </w:r>
      <w:r>
        <w:rPr>
          <w:rStyle w:val="FootnoteReference"/>
        </w:rPr>
        <w:footnoteReference w:id="3"/>
      </w:r>
    </w:p>
    <w:p>
      <w:pPr>
        <w:pStyle w:val="Heading2"/>
      </w:pPr>
      <w:r>
        <w:t xml:space="preserve">Tax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22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Arial" w:cs="Arial" w:eastAsia="Arial" w:hAnsi="Arial"/>
                <w:b/>
                <w:bCs/>
                <w:color w:val="FFFFFF"/>
                <w:sz w:val="18"/>
                <w:szCs w:val="18"/>
              </w:rPr>
              <w:t xml:space="preserve">Tax Due?</w:t>
            </w:r>
          </w:p>
        </w:tc>
        <w:tc>
          <w:tcPr>
            <w:tcW w:type="dxa" w:w="4626"/>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Arial" w:cs="Arial" w:eastAsia="Arial" w:hAnsi="Arial"/>
                <w:b/>
                <w:bCs/>
                <w:color w:val="FFFFFF"/>
                <w:sz w:val="18"/>
                <w:szCs w:val="18"/>
              </w:rPr>
              <w:t xml:space="preserve">Explanation</w:t>
            </w:r>
          </w:p>
        </w:tc>
      </w:tr>
      <w:tr>
        <w:tc>
          <w:tcPr>
            <w:tcW w:type="dxa" w:w="22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bCs/>
                <w:color w:val="1A120B"/>
                <w:sz w:val="18"/>
                <w:szCs w:val="18"/>
              </w:rPr>
              <w:t xml:space="preserve">Grant (Day 0)</w:t>
            </w:r>
          </w:p>
        </w:tc>
        <w:tc>
          <w:tcPr>
            <w:tcW w:type="dxa" w:w="22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bCs/>
                <w:color w:val="2E7D32"/>
                <w:sz w:val="18"/>
                <w:szCs w:val="18"/>
              </w:rPr>
              <w:t xml:space="preserve">No</w:t>
            </w:r>
          </w:p>
        </w:tc>
        <w:tc>
          <w:tcPr>
            <w:tcW w:type="dxa" w:w="46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val="false"/>
                <w:bCs w:val="false"/>
                <w:color w:val="1A120B"/>
                <w:sz w:val="18"/>
                <w:szCs w:val="18"/>
              </w:rPr>
              <w:t xml:space="preserve">Phantom shares are contingent — no income, no social security, no reporting obligation beyond plan registration</w:t>
            </w:r>
          </w:p>
        </w:tc>
      </w:tr>
      <w:tr>
        <w:tc>
          <w:tcPr>
            <w:tcW w:type="dxa" w:w="2200"/>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bCs/>
                <w:color w:val="1A120B"/>
                <w:sz w:val="18"/>
                <w:szCs w:val="18"/>
              </w:rPr>
              <w:t xml:space="preserve">Vesting (Year 1–4)</w:t>
            </w:r>
          </w:p>
        </w:tc>
        <w:tc>
          <w:tcPr>
            <w:tcW w:type="dxa" w:w="2200"/>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bCs/>
                <w:color w:val="2E7D32"/>
                <w:sz w:val="18"/>
                <w:szCs w:val="18"/>
              </w:rPr>
              <w:t xml:space="preserve">No</w:t>
            </w:r>
          </w:p>
        </w:tc>
        <w:tc>
          <w:tcPr>
            <w:tcW w:type="dxa" w:w="4626"/>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val="false"/>
                <w:bCs w:val="false"/>
                <w:color w:val="1A120B"/>
                <w:sz w:val="18"/>
                <w:szCs w:val="18"/>
              </w:rPr>
              <w:t xml:space="preserve">Unlike real equity (where discount-based taxation applies at vesting), phantom shares remain non-taxable until payout</w:t>
            </w:r>
          </w:p>
        </w:tc>
      </w:tr>
      <w:tr>
        <w:tc>
          <w:tcPr>
            <w:tcW w:type="dxa" w:w="22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bCs/>
                <w:color w:val="1A120B"/>
                <w:sz w:val="18"/>
                <w:szCs w:val="18"/>
              </w:rPr>
              <w:t xml:space="preserve">Payout at exit</w:t>
            </w:r>
          </w:p>
        </w:tc>
        <w:tc>
          <w:tcPr>
            <w:tcW w:type="dxa" w:w="22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bCs/>
                <w:color w:val="C62828"/>
                <w:sz w:val="18"/>
                <w:szCs w:val="18"/>
              </w:rPr>
              <w:t xml:space="preserve">Yes</w:t>
            </w:r>
          </w:p>
        </w:tc>
        <w:tc>
          <w:tcPr>
            <w:tcW w:type="dxa" w:w="46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val="false"/>
                <w:bCs w:val="false"/>
                <w:color w:val="1A120B"/>
                <w:sz w:val="18"/>
                <w:szCs w:val="18"/>
              </w:rPr>
              <w:t xml:space="preserve">Entire payout taxed as ordinary employment income (Erwerbseinkommen). Social security contributions (AHV/IV/EO) due. Deductible as compensation expense by company</w:t>
            </w:r>
          </w:p>
        </w:tc>
      </w:tr>
    </w:tbl>
    <w:p>
      <w:pPr>
        <w:spacing w:after="0" w:before="200"/>
      </w:pPr>
    </w:p>
    <w:p>
      <w:pPr>
        <w:spacing w:after="200"/>
      </w:pPr>
      <w:r>
        <w:t xml:space="preserve">VISCHER confirms: “For non-direct participations [including phantom stocks], taxation occurs upon payout.”</w:t>
      </w:r>
      <w:r>
        <w:rPr>
          <w:rStyle w:val="FootnoteReference"/>
        </w:rPr>
        <w:footnoteReference w:id="4"/>
      </w:r>
      <w:r>
        <w:t xml:space="preserve"> Pestalozzi adds that for genuine participations (real shares), “capital gains achieved after vesting are generally tax-free,”</w:t>
      </w:r>
      <w:r>
        <w:rPr>
          <w:rStyle w:val="FootnoteReference"/>
        </w:rPr>
        <w:footnoteReference w:id="3"/>
      </w:r>
      <w:r>
        <w:t xml:space="preserve"> which is the main tax advantage of real equity over phantom shares. However, phantom shares offer a significant offsetting benefit: no tax is owed until the employee has actual cash in hand.</w:t>
      </w:r>
    </w:p>
    <w:p>
      <w:pPr>
        <w:spacing w:after="200"/>
      </w:pPr>
      <w:r>
        <w:rPr>
          <w:b/>
          <w:bCs/>
        </w:rPr>
        <w:t xml:space="preserve">Tax ruling recommendation: </w:t>
      </w:r>
      <w:r>
        <w:t xml:space="preserve">Both VISCHER and the Swiss Startup Association recommend obtaining a cantonal tax ruling (Steuer-Ruling) to lock in the valuation method and tax treatment before implementing any employee participation plan.</w:t>
      </w:r>
      <w:r>
        <w:rPr>
          <w:rStyle w:val="FootnoteReference"/>
        </w:rPr>
        <w:footnoteReference w:id="4"/>
      </w:r>
      <w:r>
        <w:rPr>
          <w:rStyle w:val="FootnoteReference"/>
        </w:rPr>
        <w:footnoteReference w:id="12"/>
      </w:r>
      <w:r>
        <w:t xml:space="preserve"> For Lumina in Zug, this would cost approximately CHF 2–5K and provides certainty for all parties.</w:t>
      </w:r>
    </w:p>
    <w:p>
      <w:r>
        <w:br w:type="page"/>
      </w:r>
    </w:p>
    <w:p>
      <w:pPr>
        <w:pStyle w:val="Heading1"/>
      </w:pPr>
      <w:r>
        <w:t xml:space="preserve">5. How It Works in Practice</w:t>
      </w:r>
    </w:p>
    <w:p>
      <w:pPr>
        <w:spacing w:after="200"/>
      </w:pPr>
      <w:r>
        <w:t xml:space="preserve">MME Legal (Zurich) outlines the implementation as follows: “The Board of Directors establishes parameters through a Phantom Share Plan addressing allocation, vesting periods, payment rights, and settlement conditions.”</w:t>
      </w:r>
      <w:r>
        <w:rPr>
          <w:rStyle w:val="FootnoteReference"/>
        </w:rPr>
        <w:footnoteReference w:id="2"/>
      </w:r>
      <w:r>
        <w:t xml:space="preserve"> The process is notably lighter than real equity:</w:t>
      </w:r>
    </w:p>
    <w:p>
      <w:pPr>
        <w:pStyle w:val="Heading2"/>
      </w:pPr>
      <w:r>
        <w:t xml:space="preserve">Step-by-Step Implementation</w:t>
      </w:r>
    </w:p>
    <w:p>
      <w:pPr>
        <w:pStyle w:val="ListParagraph"/>
        <w:numPr>
          <w:ilvl w:val="0"/>
          <w:numId w:val="2"/>
        </w:numPr>
        <w:spacing w:after="120"/>
      </w:pPr>
      <w:r>
        <w:rPr>
          <w:b/>
          <w:bCs/>
        </w:rPr>
        <w:t xml:space="preserve">Board resolution: </w:t>
      </w:r>
      <w:r>
        <w:t xml:space="preserve">The board approves the Phantom Share Plan (master document) and authorizes the CEO to issue individual allocation agreements. No General Meeting required. No notary required.</w:t>
      </w:r>
    </w:p>
    <w:p>
      <w:pPr>
        <w:pStyle w:val="ListParagraph"/>
        <w:numPr>
          <w:ilvl w:val="0"/>
          <w:numId w:val="2"/>
        </w:numPr>
        <w:spacing w:after="120"/>
      </w:pPr>
      <w:r>
        <w:rPr>
          <w:b/>
          <w:bCs/>
        </w:rPr>
        <w:t xml:space="preserve">Master plan document: </w:t>
      </w:r>
      <w:r>
        <w:t xml:space="preserve">Defines: pool size (5% of company value), eligibility criteria, vesting schedule (4 years / 1-year cliff), good leaver and bad leaver provisions, acceleration clauses, payout triggers, valuation methodology, and dispute resolution.</w:t>
      </w:r>
    </w:p>
    <w:p>
      <w:pPr>
        <w:pStyle w:val="ListParagraph"/>
        <w:numPr>
          <w:ilvl w:val="0"/>
          <w:numId w:val="2"/>
        </w:numPr>
        <w:spacing w:after="120"/>
      </w:pPr>
      <w:r>
        <w:rPr>
          <w:b/>
          <w:bCs/>
        </w:rPr>
        <w:t xml:space="preserve">Individual allocation agreements: </w:t>
      </w:r>
      <w:r>
        <w:t xml:space="preserve">Each employee receives a signed agreement specifying: number of phantom shares granted, grant date, reference valuation (based on last funding round or board-approved formula), and individual vesting schedule.</w:t>
      </w:r>
    </w:p>
    <w:p>
      <w:pPr>
        <w:pStyle w:val="ListParagraph"/>
        <w:numPr>
          <w:ilvl w:val="0"/>
          <w:numId w:val="2"/>
        </w:numPr>
        <w:spacing w:after="120"/>
      </w:pPr>
      <w:r>
        <w:rPr>
          <w:b/>
          <w:bCs/>
        </w:rPr>
        <w:t xml:space="preserve">Annual reporting: </w:t>
      </w:r>
      <w:r>
        <w:t xml:space="preserve">Company records phantom share liability as a contingent liability on the balance sheet, re-measured at current company valuation. Reported in annual salary statement (Lohnausweis) as pro-memoria until payout.</w:t>
      </w:r>
    </w:p>
    <w:p>
      <w:pPr>
        <w:pStyle w:val="ListParagraph"/>
        <w:numPr>
          <w:ilvl w:val="0"/>
          <w:numId w:val="2"/>
        </w:numPr>
        <w:spacing w:after="120"/>
      </w:pPr>
      <w:r>
        <w:rPr>
          <w:b/>
          <w:bCs/>
        </w:rPr>
        <w:t xml:space="preserve">Payout at exit: </w:t>
      </w:r>
      <w:r>
        <w:t xml:space="preserve">When a liquidity event occurs, vested phantom shares convert to cash. Payout comes off the top of the purchase price before distribution to real shareholders. Company withholds income tax and social security contributions.</w:t>
      </w:r>
    </w:p>
    <w:p>
      <w:pPr>
        <w:spacing w:after="0" w:before="200"/>
      </w:pPr>
    </w:p>
    <w:p>
      <w:pPr>
        <w:spacing w:after="200"/>
      </w:pPr>
      <w:r>
        <w:t xml:space="preserve">As LEXR notes: “The issuance of phantom shares is simplified compared to normal shares, as no meeting with the notary for the formal capital increase is required. Participants do not formally become shareholders and thus do not receive any shareholder rights.”</w:t>
      </w:r>
      <w:r>
        <w:rPr>
          <w:rStyle w:val="FootnoteReference"/>
        </w:rPr>
        <w:footnoteReference w:id="1"/>
      </w:r>
    </w:p>
    <w:p>
      <w:pPr>
        <w:pStyle w:val="Heading1"/>
      </w:pPr>
      <w:r>
        <w:t xml:space="preserve">6. Payout Example: Lumina Scenario</w:t>
      </w:r>
    </w:p>
    <w:p>
      <w:pPr>
        <w:spacing w:after="200"/>
      </w:pPr>
      <w:r>
        <w:t xml:space="preserve">The following example illustrates how a phantom share payout works for a Lumina employee.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96E" w:sz="2"/>
              <w:left w:val="single" w:color="C9A96E" w:sz="2"/>
              <w:bottom w:val="single" w:color="C9A96E" w:sz="2"/>
              <w:right w:val="single" w:color="C9A96E" w:sz="2"/>
            </w:tcBorders>
            <w:shd w:fill="F5EFE6" w:val="clear"/>
            <w:tcMar>
              <w:top w:type="dxa" w:w="160"/>
              <w:left w:type="dxa" w:w="200"/>
              <w:bottom w:type="dxa" w:w="160"/>
              <w:right w:type="dxa" w:w="200"/>
            </w:tcMar>
          </w:tcPr>
          <w:p>
            <w:pPr>
              <w:spacing w:after="60"/>
            </w:pPr>
            <w:r>
              <w:rPr>
                <w:rFonts w:ascii="Georgia" w:cs="Georgia" w:eastAsia="Georgia" w:hAnsi="Georgia"/>
                <w:b/>
                <w:bCs/>
                <w:color w:val="8B4A2B"/>
                <w:sz w:val="24"/>
                <w:szCs w:val="24"/>
              </w:rPr>
              <w:t xml:space="preserve">Scenario</w:t>
            </w:r>
          </w:p>
          <w:p>
            <w:pPr>
              <w:spacing w:after="60"/>
            </w:pPr>
            <w:r>
              <w:rPr>
                <w:rFonts w:ascii="Arial" w:cs="Arial" w:eastAsia="Arial" w:hAnsi="Arial"/>
                <w:b w:val="false"/>
                <w:bCs w:val="false"/>
                <w:color w:val="1A120B"/>
                <w:sz w:val="20"/>
                <w:szCs w:val="20"/>
              </w:rPr>
              <w:t xml:space="preserve">Employee: Elise (Lead Developer, Employee #1)</w:t>
            </w:r>
          </w:p>
          <w:p>
            <w:pPr>
              <w:spacing w:after="60"/>
            </w:pPr>
            <w:r>
              <w:rPr>
                <w:rFonts w:ascii="Arial" w:cs="Arial" w:eastAsia="Arial" w:hAnsi="Arial"/>
                <w:b w:val="false"/>
                <w:bCs w:val="false"/>
                <w:color w:val="1A120B"/>
                <w:sz w:val="20"/>
                <w:szCs w:val="20"/>
              </w:rPr>
              <w:t xml:space="preserve">Phantom shares granted: 1.5% of company value (from 5% pool)</w:t>
            </w:r>
          </w:p>
          <w:p>
            <w:pPr>
              <w:spacing w:after="60"/>
            </w:pPr>
            <w:r>
              <w:rPr>
                <w:rFonts w:ascii="Arial" w:cs="Arial" w:eastAsia="Arial" w:hAnsi="Arial"/>
                <w:b w:val="false"/>
                <w:bCs w:val="false"/>
                <w:color w:val="1A120B"/>
                <w:sz w:val="20"/>
                <w:szCs w:val="20"/>
              </w:rPr>
              <w:t xml:space="preserve">Reference valuation at grant: EUR 1.0M (founding valuation)</w:t>
            </w:r>
          </w:p>
          <w:p>
            <w:pPr>
              <w:spacing w:after="60"/>
            </w:pPr>
            <w:r>
              <w:rPr>
                <w:rFonts w:ascii="Arial" w:cs="Arial" w:eastAsia="Arial" w:hAnsi="Arial"/>
                <w:b w:val="false"/>
                <w:bCs w:val="false"/>
                <w:color w:val="1A120B"/>
                <w:sz w:val="20"/>
                <w:szCs w:val="20"/>
              </w:rPr>
              <w:t xml:space="preserve">Vesting: 4 years, 1-year cliff</w:t>
            </w:r>
          </w:p>
          <w:p>
            <w:pPr>
              <w:spacing w:after="60"/>
            </w:pPr>
            <w:r>
              <w:rPr>
                <w:rFonts w:ascii="Arial" w:cs="Arial" w:eastAsia="Arial" w:hAnsi="Arial"/>
                <w:b w:val="false"/>
                <w:bCs w:val="false"/>
                <w:color w:val="1A120B"/>
                <w:sz w:val="20"/>
                <w:szCs w:val="20"/>
              </w:rPr>
              <w:t xml:space="preserve">Exit at Year 4: EUR 38M valuation (per Lumina business plan base case)</w:t>
            </w:r>
          </w:p>
          <w:p>
            <w:pPr>
              <w:spacing w:after="0"/>
            </w:pPr>
            <w:r>
              <w:rPr>
                <w:rFonts w:ascii="Arial" w:cs="Arial" w:eastAsia="Arial" w:hAnsi="Arial"/>
                <w:b w:val="false"/>
                <w:bCs w:val="false"/>
                <w:color w:val="1A120B"/>
                <w:sz w:val="20"/>
                <w:szCs w:val="20"/>
              </w:rPr>
              <w:t xml:space="preserve">Elise is 100% vested.</w:t>
            </w:r>
          </w:p>
        </w:tc>
      </w:tr>
    </w:tbl>
    <w:p>
      <w:pPr>
        <w:spacing w:after="0" w:before="200"/>
      </w:pPr>
    </w:p>
    <w:p>
      <w:pPr>
        <w:pStyle w:val="Heading3"/>
      </w:pPr>
      <w:r>
        <w:t xml:space="preserve">Payout Calculation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526"/>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Arial" w:cs="Arial" w:eastAsia="Arial" w:hAnsi="Arial"/>
                <w:b/>
                <w:bCs/>
                <w:color w:val="FFFFFF"/>
                <w:sz w:val="18"/>
                <w:szCs w:val="18"/>
              </w:rPr>
              <w:t xml:space="preserve">Amount</w:t>
            </w:r>
          </w:p>
        </w:tc>
      </w:tr>
      <w:tr>
        <w:tc>
          <w:tcPr>
            <w:tcW w:type="dxa" w:w="55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val="false"/>
                <w:bCs w:val="false"/>
                <w:color w:val="1A120B"/>
                <w:sz w:val="18"/>
                <w:szCs w:val="18"/>
              </w:rPr>
              <w:t xml:space="preserve">Exit valuation</w:t>
            </w:r>
          </w:p>
        </w:tc>
        <w:tc>
          <w:tcPr>
            <w:tcW w:type="dxa" w:w="35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bCs/>
                <w:color w:val="1A120B"/>
                <w:sz w:val="18"/>
                <w:szCs w:val="18"/>
              </w:rPr>
              <w:t xml:space="preserve">€38,000,000</w:t>
            </w:r>
          </w:p>
        </w:tc>
      </w:tr>
      <w:tr>
        <w:tc>
          <w:tcPr>
            <w:tcW w:type="dxa" w:w="5500"/>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val="false"/>
                <w:bCs w:val="false"/>
                <w:color w:val="1A120B"/>
                <w:sz w:val="18"/>
                <w:szCs w:val="18"/>
              </w:rPr>
              <w:t xml:space="preserve">Phantom pool payout (5% of exit, off the top)</w:t>
            </w:r>
          </w:p>
        </w:tc>
        <w:tc>
          <w:tcPr>
            <w:tcW w:type="dxa" w:w="3526"/>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bCs/>
                <w:color w:val="1A120B"/>
                <w:sz w:val="18"/>
                <w:szCs w:val="18"/>
              </w:rPr>
              <w:t xml:space="preserve">€1,900,000</w:t>
            </w:r>
          </w:p>
        </w:tc>
      </w:tr>
      <w:tr>
        <w:tc>
          <w:tcPr>
            <w:tcW w:type="dxa" w:w="55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val="false"/>
                <w:bCs w:val="false"/>
                <w:color w:val="1A120B"/>
                <w:sz w:val="18"/>
                <w:szCs w:val="18"/>
              </w:rPr>
              <w:t xml:space="preserve">Remaining to real shareholders (80/20 split)</w:t>
            </w:r>
          </w:p>
        </w:tc>
        <w:tc>
          <w:tcPr>
            <w:tcW w:type="dxa" w:w="35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bCs/>
                <w:color w:val="1A120B"/>
                <w:sz w:val="18"/>
                <w:szCs w:val="18"/>
              </w:rPr>
              <w:t xml:space="preserve">€36,100,000</w:t>
            </w:r>
          </w:p>
        </w:tc>
      </w:tr>
      <w:tr>
        <w:tc>
          <w:tcPr>
            <w:tcW w:type="dxa" w:w="5500"/>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val="false"/>
                <w:bCs w:val="false"/>
                <w:color w:val="1A120B"/>
                <w:sz w:val="18"/>
                <w:szCs w:val="18"/>
              </w:rPr>
              <w:t xml:space="preserve">Elise’s share (1.5% of €38M, fully vested)</w:t>
            </w:r>
          </w:p>
        </w:tc>
        <w:tc>
          <w:tcPr>
            <w:tcW w:type="dxa" w:w="3526"/>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bCs/>
                <w:color w:val="2E7D32"/>
                <w:sz w:val="18"/>
                <w:szCs w:val="18"/>
              </w:rPr>
              <w:t xml:space="preserve">€570,000</w:t>
            </w:r>
          </w:p>
        </w:tc>
      </w:tr>
      <w:tr>
        <w:tc>
          <w:tcPr>
            <w:tcW w:type="dxa" w:w="55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val="false"/>
                <w:bCs w:val="false"/>
                <w:color w:val="1A120B"/>
                <w:sz w:val="18"/>
                <w:szCs w:val="18"/>
              </w:rPr>
              <w:t xml:space="preserve">Tax + social security (~22% in Zug)</w:t>
            </w:r>
          </w:p>
        </w:tc>
        <w:tc>
          <w:tcPr>
            <w:tcW w:type="dxa" w:w="35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val="false"/>
                <w:bCs w:val="false"/>
                <w:color w:val="1A120B"/>
                <w:sz w:val="18"/>
                <w:szCs w:val="18"/>
              </w:rPr>
              <w:t xml:space="preserve">~€125,000</w:t>
            </w:r>
          </w:p>
        </w:tc>
      </w:tr>
      <w:tr>
        <w:tc>
          <w:tcPr>
            <w:tcW w:type="dxa" w:w="5500"/>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val="false"/>
                <w:bCs w:val="false"/>
                <w:color w:val="1A120B"/>
                <w:sz w:val="18"/>
                <w:szCs w:val="18"/>
              </w:rPr>
              <w:t xml:space="preserve">Net to Elise</w:t>
            </w:r>
          </w:p>
        </w:tc>
        <w:tc>
          <w:tcPr>
            <w:tcW w:type="dxa" w:w="3526"/>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bCs/>
                <w:color w:val="2E7D32"/>
                <w:sz w:val="18"/>
                <w:szCs w:val="18"/>
              </w:rPr>
              <w:t xml:space="preserve">~€445,000</w:t>
            </w:r>
          </w:p>
        </w:tc>
      </w:tr>
    </w:tbl>
    <w:p>
      <w:pPr>
        <w:spacing w:after="0" w:before="200"/>
      </w:pPr>
    </w:p>
    <w:p>
      <w:pPr>
        <w:spacing w:after="200"/>
      </w:pPr>
      <w:r>
        <w:rPr>
          <w:b/>
          <w:bCs/>
        </w:rPr>
        <w:t xml:space="preserve">Impact on founders: </w:t>
      </w:r>
      <w:r>
        <w:t xml:space="preserve">The €1.9M phantom payout comes off the €38M purchase price. The remaining €36.1M is split 80/20 between Amedeo+Corsaro (€28.88M) and Marco (€7.22M). Without the phantom pool, it would have been €30.4M and €7.6M respectively. The “cost” of the phantom pool to each founder is proportional to their ownership — fair and transparent.</w:t>
      </w:r>
    </w:p>
    <w:p>
      <w:r>
        <w:br w:type="page"/>
      </w:r>
    </w:p>
    <w:p>
      <w:pPr>
        <w:pStyle w:val="Heading1"/>
      </w:pPr>
      <w:r>
        <w:t xml:space="preserve">7. European Adoption and Precedent</w:t>
      </w:r>
    </w:p>
    <w:p>
      <w:pPr>
        <w:spacing w:after="200"/>
      </w:pPr>
      <w:r>
        <w:t xml:space="preserve">Phantom share plans are not a niche instrument. They are the </w:t>
      </w:r>
      <w:r>
        <w:rPr>
          <w:b/>
          <w:bCs/>
        </w:rPr>
        <w:t xml:space="preserve">dominant form of employee participation</w:t>
      </w:r>
      <w:r>
        <w:t xml:space="preserve"> in several major European startup ecosystems.</w:t>
      </w:r>
    </w:p>
    <w:p>
      <w:pPr>
        <w:pStyle w:val="Heading2"/>
      </w:pPr>
      <w:r>
        <w:t xml:space="preserve">Germany: The VSOP Standard</w:t>
      </w:r>
    </w:p>
    <w:p>
      <w:pPr>
        <w:spacing w:after="200"/>
      </w:pPr>
      <w:r>
        <w:t xml:space="preserve">In Germany, Virtual Stock Option Plans (VSOPs) — the German equivalent of PSOPs — are used by over 80% of startups.</w:t>
      </w:r>
      <w:r>
        <w:rPr>
          <w:rStyle w:val="FootnoteReference"/>
        </w:rPr>
        <w:footnoteReference w:id="14"/>
      </w:r>
      <w:r>
        <w:t xml:space="preserve"> As Saltox reports: “Phantom equity is particularly popular in Germany, in tech hubs like Berlin and Munich, where startups use it to attract top talent.”</w:t>
      </w:r>
      <w:r>
        <w:rPr>
          <w:rStyle w:val="FootnoteReference"/>
        </w:rPr>
        <w:footnoteReference w:id="11"/>
      </w:r>
      <w:r>
        <w:t xml:space="preserve"> Major German unicorns including N26 (€9B valuation), Personio (€8.5B), and Celonis (€13B) have all used virtual share structures.</w:t>
      </w:r>
      <w:r>
        <w:rPr>
          <w:rStyle w:val="FootnoteReference"/>
        </w:rPr>
        <w:footnoteReference w:id="11"/>
      </w:r>
    </w:p>
    <w:p>
      <w:pPr>
        <w:spacing w:after="200"/>
      </w:pPr>
      <w:r>
        <w:t xml:space="preserve">Gaia Law (Berlin) explains the historical rationale: “German startups have tended to issue phantom shares under a VSOP to employees instead of real shares. Virtual shares don’t require notarization because they’re a financial obligation — a cash payment rather than official equity.”</w:t>
      </w:r>
      <w:r>
        <w:rPr>
          <w:rStyle w:val="FootnoteReference"/>
        </w:rPr>
        <w:footnoteReference w:id="14"/>
      </w:r>
    </w:p>
    <w:p>
      <w:pPr>
        <w:pStyle w:val="Heading2"/>
      </w:pPr>
      <w:r>
        <w:t xml:space="preserve">Netherlands and Scandinavia</w:t>
      </w:r>
    </w:p>
    <w:p>
      <w:pPr>
        <w:spacing w:after="200"/>
      </w:pPr>
      <w:r>
        <w:t xml:space="preserve">Saltox reports that phantom equity sees “high adoption in startups and private sectors” in the Netherlands and Scandinavia, “favoring Stock Appreciation Rights (SARs) to retain ownership while incentivizing employee performance.”</w:t>
      </w:r>
      <w:r>
        <w:rPr>
          <w:rStyle w:val="FootnoteReference"/>
        </w:rPr>
        <w:footnoteReference w:id="11"/>
      </w:r>
    </w:p>
    <w:p>
      <w:pPr>
        <w:pStyle w:val="Heading2"/>
      </w:pPr>
      <w:r>
        <w:t xml:space="preserve">Switzerland</w:t>
      </w:r>
    </w:p>
    <w:p>
      <w:pPr>
        <w:spacing w:after="200"/>
      </w:pPr>
      <w:r>
        <w:t xml:space="preserve">The Swiss Startup Association notes that approximately 10% of shares are typically allocated to employee pools in Swiss startups (compared to 20% in US startups), reflecting higher base salaries in Switzerland.</w:t>
      </w:r>
      <w:r>
        <w:rPr>
          <w:rStyle w:val="FootnoteReference"/>
        </w:rPr>
        <w:footnoteReference w:id="12"/>
      </w:r>
      <w:r>
        <w:t xml:space="preserve"> Both phantom shares and real equity ESOPs are used, with the choice depending on company stage and founder preference for cap table simplicity.</w:t>
      </w:r>
    </w:p>
    <w:p>
      <w:pPr>
        <w:spacing w:after="200"/>
      </w:pPr>
      <w:r>
        <w:t xml:space="preserve">Swiss equity management platform </w:t>
      </w:r>
      <w:r>
        <w:rPr>
          <w:b/>
          <w:bCs/>
        </w:rPr>
        <w:t xml:space="preserve">Ledgy</w:t>
      </w:r>
      <w:r>
        <w:t xml:space="preserve"> (Zurich, backed by Sequoia) provides dedicated PSOP management tools alongside their ESOP platform, offering free downloadable PSOP templates for Swiss startups. They note that in Switzerland, “the government gives a tax ruling on the nominal value of phantom stock, which reduces the taxable amount.”</w:t>
      </w:r>
      <w:r>
        <w:rPr>
          <w:rStyle w:val="FootnoteReference"/>
        </w:rPr>
        <w:footnoteReference w:id="8"/>
      </w:r>
    </w:p>
    <w:p>
      <w:pPr>
        <w:pStyle w:val="Heading2"/>
      </w:pPr>
      <w:r>
        <w:t xml:space="preserve">United States</w:t>
      </w:r>
    </w:p>
    <w:p>
      <w:pPr>
        <w:spacing w:after="200"/>
      </w:pPr>
      <w:r>
        <w:t xml:space="preserve">J.P. Morgan’s Kim Patel (VP, Startup Banking) states: “Phantom equity is a powerful but often overlooked tool for aligning incentives. Many execs increasingly favor phantom equity because it’s clearer, cleaner, and more liquid than traditional options.”</w:t>
      </w:r>
      <w:r>
        <w:rPr>
          <w:rStyle w:val="FootnoteReference"/>
        </w:rPr>
        <w:footnoteReference w:id="9"/>
      </w:r>
      <w:r>
        <w:t xml:space="preserve"> Harvard Business School publishes a dedicated case note on “Employee Stock Ownership Plans (ESOPs) and Phantom Stock Plans,” recognizing phantom stock as a standard corporate finance tool.</w:t>
      </w:r>
      <w:r>
        <w:rPr>
          <w:rStyle w:val="FootnoteReference"/>
        </w:rPr>
        <w:footnoteReference w:id="13"/>
      </w:r>
    </w:p>
    <w:p>
      <w:r>
        <w:br w:type="page"/>
      </w:r>
    </w:p>
    <w:p>
      <w:pPr>
        <w:pStyle w:val="Heading1"/>
      </w:pPr>
      <w:r>
        <w:t xml:space="preserve">8. Proposed Structure for Lumina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026"/>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Arial" w:cs="Arial" w:eastAsia="Arial" w:hAnsi="Arial"/>
                <w:b/>
                <w:bCs/>
                <w:color w:val="FFFFFF"/>
                <w:sz w:val="18"/>
                <w:szCs w:val="18"/>
              </w:rPr>
              <w:t xml:space="preserve">Proposed Value</w:t>
            </w:r>
          </w:p>
        </w:tc>
      </w:tr>
      <w:tr>
        <w:tc>
          <w:tcPr>
            <w:tcW w:type="dxa" w:w="30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bCs/>
                <w:color w:val="1A120B"/>
                <w:sz w:val="18"/>
                <w:szCs w:val="18"/>
              </w:rPr>
              <w:t xml:space="preserve">Pool size</w:t>
            </w:r>
          </w:p>
        </w:tc>
        <w:tc>
          <w:tcPr>
            <w:tcW w:type="dxa" w:w="60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val="false"/>
                <w:bCs w:val="false"/>
                <w:color w:val="1A120B"/>
                <w:sz w:val="18"/>
                <w:szCs w:val="18"/>
              </w:rPr>
              <w:t xml:space="preserve">5% economic equivalent of company value</w:t>
            </w:r>
          </w:p>
        </w:tc>
      </w:tr>
      <w:tr>
        <w:tc>
          <w:tcPr>
            <w:tcW w:type="dxa" w:w="3000"/>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bCs/>
                <w:color w:val="1A120B"/>
                <w:sz w:val="18"/>
                <w:szCs w:val="18"/>
              </w:rPr>
              <w:t xml:space="preserve">Cap table impact</w:t>
            </w:r>
          </w:p>
        </w:tc>
        <w:tc>
          <w:tcPr>
            <w:tcW w:type="dxa" w:w="6026"/>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val="false"/>
                <w:bCs w:val="false"/>
                <w:color w:val="1A120B"/>
                <w:sz w:val="18"/>
                <w:szCs w:val="18"/>
              </w:rPr>
              <w:t xml:space="preserve">None — real cap table remains: Amedeo+Corsaro 80%, Marco 20%</w:t>
            </w:r>
          </w:p>
        </w:tc>
      </w:tr>
      <w:tr>
        <w:tc>
          <w:tcPr>
            <w:tcW w:type="dxa" w:w="30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bCs/>
                <w:color w:val="1A120B"/>
                <w:sz w:val="18"/>
                <w:szCs w:val="18"/>
              </w:rPr>
              <w:t xml:space="preserve">Vesting schedule</w:t>
            </w:r>
          </w:p>
        </w:tc>
        <w:tc>
          <w:tcPr>
            <w:tcW w:type="dxa" w:w="60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val="false"/>
                <w:bCs w:val="false"/>
                <w:color w:val="1A120B"/>
                <w:sz w:val="18"/>
                <w:szCs w:val="18"/>
              </w:rPr>
              <w:t xml:space="preserve">4 years, 1-year cliff, then quarterly vesting</w:t>
            </w:r>
          </w:p>
        </w:tc>
      </w:tr>
      <w:tr>
        <w:tc>
          <w:tcPr>
            <w:tcW w:type="dxa" w:w="3000"/>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bCs/>
                <w:color w:val="1A120B"/>
                <w:sz w:val="18"/>
                <w:szCs w:val="18"/>
              </w:rPr>
              <w:t xml:space="preserve">Payout trigger</w:t>
            </w:r>
          </w:p>
        </w:tc>
        <w:tc>
          <w:tcPr>
            <w:tcW w:type="dxa" w:w="6026"/>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val="false"/>
                <w:bCs w:val="false"/>
                <w:color w:val="1A120B"/>
                <w:sz w:val="18"/>
                <w:szCs w:val="18"/>
              </w:rPr>
              <w:t xml:space="preserve">Exit (acquisition, IPO) only — no early buyback obligation</w:t>
            </w:r>
          </w:p>
        </w:tc>
      </w:tr>
      <w:tr>
        <w:tc>
          <w:tcPr>
            <w:tcW w:type="dxa" w:w="30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bCs/>
                <w:color w:val="1A120B"/>
                <w:sz w:val="18"/>
                <w:szCs w:val="18"/>
              </w:rPr>
              <w:t xml:space="preserve">Acceleration</w:t>
            </w:r>
          </w:p>
        </w:tc>
        <w:tc>
          <w:tcPr>
            <w:tcW w:type="dxa" w:w="60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val="false"/>
                <w:bCs w:val="false"/>
                <w:color w:val="1A120B"/>
                <w:sz w:val="18"/>
                <w:szCs w:val="18"/>
              </w:rPr>
              <w:t xml:space="preserve">Double trigger: accelerates only if employee terminated within 12 months post-acquisition</w:t>
            </w:r>
          </w:p>
        </w:tc>
      </w:tr>
      <w:tr>
        <w:tc>
          <w:tcPr>
            <w:tcW w:type="dxa" w:w="3000"/>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bCs/>
                <w:color w:val="1A120B"/>
                <w:sz w:val="18"/>
                <w:szCs w:val="18"/>
              </w:rPr>
              <w:t xml:space="preserve">Good leaver</w:t>
            </w:r>
          </w:p>
        </w:tc>
        <w:tc>
          <w:tcPr>
            <w:tcW w:type="dxa" w:w="6026"/>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val="false"/>
                <w:bCs w:val="false"/>
                <w:color w:val="1A120B"/>
                <w:sz w:val="18"/>
                <w:szCs w:val="18"/>
              </w:rPr>
              <w:t xml:space="preserve">Keeps all vested phantom shares, paid at exit</w:t>
            </w:r>
          </w:p>
        </w:tc>
      </w:tr>
      <w:tr>
        <w:tc>
          <w:tcPr>
            <w:tcW w:type="dxa" w:w="30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bCs/>
                <w:color w:val="1A120B"/>
                <w:sz w:val="18"/>
                <w:szCs w:val="18"/>
              </w:rPr>
              <w:t xml:space="preserve">Bad leaver</w:t>
            </w:r>
          </w:p>
        </w:tc>
        <w:tc>
          <w:tcPr>
            <w:tcW w:type="dxa" w:w="60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val="false"/>
                <w:bCs w:val="false"/>
                <w:color w:val="1A120B"/>
                <w:sz w:val="18"/>
                <w:szCs w:val="18"/>
              </w:rPr>
              <w:t xml:space="preserve">Forfeits all phantom shares (vested + unvested)</w:t>
            </w:r>
          </w:p>
        </w:tc>
      </w:tr>
      <w:tr>
        <w:tc>
          <w:tcPr>
            <w:tcW w:type="dxa" w:w="3000"/>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bCs/>
                <w:color w:val="1A120B"/>
                <w:sz w:val="18"/>
                <w:szCs w:val="18"/>
              </w:rPr>
              <w:t xml:space="preserve">Valuation method</w:t>
            </w:r>
          </w:p>
        </w:tc>
        <w:tc>
          <w:tcPr>
            <w:tcW w:type="dxa" w:w="6026"/>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val="false"/>
                <w:bCs w:val="false"/>
                <w:color w:val="1A120B"/>
                <w:sz w:val="18"/>
                <w:szCs w:val="18"/>
              </w:rPr>
              <w:t xml:space="preserve">Last funding round valuation, or board-approved formula value if pre-funding</w:t>
            </w:r>
          </w:p>
        </w:tc>
      </w:tr>
      <w:tr>
        <w:tc>
          <w:tcPr>
            <w:tcW w:type="dxa" w:w="30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bCs/>
                <w:color w:val="1A120B"/>
                <w:sz w:val="18"/>
                <w:szCs w:val="18"/>
              </w:rPr>
              <w:t xml:space="preserve">Administration</w:t>
            </w:r>
          </w:p>
        </w:tc>
        <w:tc>
          <w:tcPr>
            <w:tcW w:type="dxa" w:w="60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val="false"/>
                <w:bCs w:val="false"/>
                <w:color w:val="1A120B"/>
                <w:sz w:val="18"/>
                <w:szCs w:val="18"/>
              </w:rPr>
              <w:t xml:space="preserve">Managed via Ledgy (Swiss platform, Sequoia-backed, GDPR compliant)</w:t>
            </w:r>
          </w:p>
        </w:tc>
      </w:tr>
      <w:tr>
        <w:tc>
          <w:tcPr>
            <w:tcW w:type="dxa" w:w="3000"/>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bCs/>
                <w:color w:val="1A120B"/>
                <w:sz w:val="18"/>
                <w:szCs w:val="18"/>
              </w:rPr>
              <w:t xml:space="preserve">Tax ruling</w:t>
            </w:r>
          </w:p>
        </w:tc>
        <w:tc>
          <w:tcPr>
            <w:tcW w:type="dxa" w:w="6026"/>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val="false"/>
                <w:bCs w:val="false"/>
                <w:color w:val="1A120B"/>
                <w:sz w:val="18"/>
                <w:szCs w:val="18"/>
              </w:rPr>
              <w:t xml:space="preserve">File Steuer-Ruling with Canton Zug before first grant (est. CHF 2–5K)</w:t>
            </w:r>
          </w:p>
        </w:tc>
      </w:tr>
    </w:tbl>
    <w:p>
      <w:pPr>
        <w:spacing w:after="0" w:before="300"/>
      </w:pPr>
    </w:p>
    <w:p>
      <w:pPr>
        <w:pStyle w:val="Heading1"/>
      </w:pPr>
      <w:r>
        <w:t xml:space="preserve">9. Why 5% Is the Right Pool Size</w:t>
      </w:r>
    </w:p>
    <w:p>
      <w:pPr>
        <w:spacing w:after="200"/>
      </w:pPr>
      <w:r>
        <w:t xml:space="preserve">The Swiss Startup Association reports that approximately 10% is the standard employee pool for Swiss startups.</w:t>
      </w:r>
      <w:r>
        <w:rPr>
          <w:rStyle w:val="FootnoteReference"/>
        </w:rPr>
        <w:footnoteReference w:id="12"/>
      </w:r>
      <w:r>
        <w:t xml:space="preserve"> However, Lumina’s current team structure makes 5% the correct choice:</w:t>
      </w:r>
    </w:p>
    <w:p>
      <w:pPr>
        <w:pStyle w:val="ListParagraph"/>
        <w:numPr>
          <w:ilvl w:val="0"/>
          <w:numId w:val="3"/>
        </w:numPr>
        <w:spacing w:after="120"/>
      </w:pPr>
      <w:r>
        <w:rPr>
          <w:b/>
          <w:bCs/>
        </w:rPr>
        <w:t xml:space="preserve">The team is three people. </w:t>
      </w:r>
      <w:r>
        <w:t xml:space="preserve">Lumina today has one full-time developer (Elise) and one part-time PM (Luisa). The CEO (Marco) holds real equity, not phantom shares. Amedeo and Corsaro are shareholders and strategic advisors, not employees. A 10% pool would allocate 3–4% per early employee — far above market norms for non-founding team members. At 5%, Elise could receive 1.5% and Luisa 0.5–1%, leaving 2–3% for future hires in Year 1–2.</w:t>
      </w:r>
    </w:p>
    <w:p>
      <w:pPr>
        <w:pStyle w:val="ListParagraph"/>
        <w:numPr>
          <w:ilvl w:val="0"/>
          <w:numId w:val="3"/>
        </w:numPr>
        <w:spacing w:after="120"/>
      </w:pPr>
      <w:r>
        <w:rPr>
          <w:b/>
          <w:bCs/>
        </w:rPr>
        <w:t xml:space="preserve">A 10% pool is sized for a Series A company with 20+ employees. </w:t>
      </w:r>
      <w:r>
        <w:t xml:space="preserve">Lumina is pre-revenue with fewer than 5 team members. Over-allocating now creates an unnecessarily large liability on the balance sheet and reduces the net proceeds available to founders at exit. At a €38M exit, 10% = €3.8M in phantom payouts; 5% = €1.9M. The difference (€1.9M) is real money coming directly out of the shareholders’ pocket.</w:t>
      </w:r>
    </w:p>
    <w:p>
      <w:pPr>
        <w:pStyle w:val="ListParagraph"/>
        <w:numPr>
          <w:ilvl w:val="0"/>
          <w:numId w:val="3"/>
        </w:numPr>
        <w:spacing w:after="120"/>
      </w:pPr>
      <w:r>
        <w:rPr>
          <w:b/>
          <w:bCs/>
        </w:rPr>
        <w:t xml:space="preserve">The pool can always be expanded later. </w:t>
      </w:r>
      <w:r>
        <w:t xml:space="preserve">When Lumina raises a Series A, the new investors will expect a refreshed option pool (typically 10–15%). That is the right moment to expand — with market-rate valuations and a clear picture of hiring needs. Starting at 5% and expanding at Series A is standard practice. Starting at 10% and discovering you over-allocated is a mistake that cannot be undone.</w:t>
      </w:r>
    </w:p>
    <w:p>
      <w:pPr>
        <w:pStyle w:val="ListParagraph"/>
        <w:numPr>
          <w:ilvl w:val="0"/>
          <w:numId w:val="3"/>
        </w:numPr>
        <w:spacing w:after="120"/>
      </w:pPr>
      <w:r>
        <w:rPr>
          <w:b/>
          <w:bCs/>
        </w:rPr>
        <w:t xml:space="preserve">5% is still extremely generous for early employees. </w:t>
      </w:r>
      <w:r>
        <w:t xml:space="preserve">If Elise receives 1.5% phantom shares and Lumina exits at €38M (base case, Year 4), her payout is €570,000 — net ~€445,000 after tax. For a developer joining a pre-revenue startup, this is life-changing compensation. No early employee will turn down this opportunity because the pool is 5% instead of 10%.</w:t>
      </w:r>
    </w:p>
    <w:p>
      <w:pPr>
        <w:spacing w:after="0" w:before="200"/>
      </w:pPr>
    </w:p>
    <w:p>
      <w:pPr>
        <w:pStyle w:val="Heading1"/>
      </w:pPr>
      <w:r>
        <w:t xml:space="preserve">10. Why PSOP Is the Optimal Structure for Lumina</w:t>
      </w:r>
    </w:p>
    <w:p>
      <w:pPr>
        <w:spacing w:after="200"/>
      </w:pPr>
      <w:r>
        <w:t xml:space="preserve">The choice of PSOP over ESOP (real shares) or other structures is not just a matter of preference — it is the structure that maximizes founder equity, minimizes administrative burden, and keeps the cap table clean for future investors.</w:t>
      </w:r>
    </w:p>
    <w:p>
      <w:pPr>
        <w:pStyle w:val="Heading2"/>
      </w:pPr>
      <w:r>
        <w:t xml:space="preserve">The Cap Table Advantage</w:t>
      </w:r>
    </w:p>
    <w:p>
      <w:pPr>
        <w:spacing w:after="200"/>
      </w:pPr>
      <w:r>
        <w:t xml:space="preserve">With a PSOP, the official cap table of Lumina AG shows exactly three shareholders: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63"/>
        <w:gridCol w:w="2263"/>
      </w:tblGrid>
      <w:tr>
        <w:tc>
          <w:tcPr>
            <w:tcW w:type="dxa" w:w="45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Arial" w:cs="Arial" w:eastAsia="Arial" w:hAnsi="Arial"/>
                <w:b/>
                <w:bCs/>
                <w:color w:val="FFFFFF"/>
                <w:sz w:val="18"/>
                <w:szCs w:val="18"/>
              </w:rPr>
              <w:t xml:space="preserve">Shareholder</w:t>
            </w:r>
          </w:p>
        </w:tc>
        <w:tc>
          <w:tcPr>
            <w:tcW w:type="dxa" w:w="226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Arial" w:cs="Arial" w:eastAsia="Arial" w:hAnsi="Arial"/>
                <w:b/>
                <w:bCs/>
                <w:color w:val="FFFFFF"/>
                <w:sz w:val="18"/>
                <w:szCs w:val="18"/>
              </w:rPr>
              <w:t xml:space="preserve">With PSOP</w:t>
            </w:r>
          </w:p>
        </w:tc>
        <w:tc>
          <w:tcPr>
            <w:tcW w:type="dxa" w:w="226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Arial" w:cs="Arial" w:eastAsia="Arial" w:hAnsi="Arial"/>
                <w:b/>
                <w:bCs/>
                <w:color w:val="FFFFFF"/>
                <w:sz w:val="18"/>
                <w:szCs w:val="18"/>
              </w:rPr>
              <w:t xml:space="preserve">With ESOP (10%)</w:t>
            </w:r>
          </w:p>
        </w:tc>
      </w:tr>
      <w:tr>
        <w:tc>
          <w:tcPr>
            <w:tcW w:type="dxa" w:w="45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bCs/>
                <w:color w:val="1A120B"/>
                <w:sz w:val="18"/>
                <w:szCs w:val="18"/>
              </w:rPr>
              <w:t xml:space="preserve">Amedeo Guffanti + Marco Corsaro</w:t>
            </w:r>
          </w:p>
        </w:tc>
        <w:tc>
          <w:tcPr>
            <w:tcW w:type="dxa" w:w="22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bCs/>
                <w:color w:val="2E7D32"/>
                <w:sz w:val="18"/>
                <w:szCs w:val="18"/>
              </w:rPr>
              <w:t xml:space="preserve">80%</w:t>
            </w:r>
          </w:p>
        </w:tc>
        <w:tc>
          <w:tcPr>
            <w:tcW w:type="dxa" w:w="22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val="false"/>
                <w:bCs w:val="false"/>
                <w:color w:val="C62828"/>
                <w:sz w:val="18"/>
                <w:szCs w:val="18"/>
              </w:rPr>
              <w:t xml:space="preserve">70%</w:t>
            </w:r>
          </w:p>
        </w:tc>
      </w:tr>
      <w:tr>
        <w:tc>
          <w:tcPr>
            <w:tcW w:type="dxa" w:w="4500"/>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bCs/>
                <w:color w:val="1A120B"/>
                <w:sz w:val="18"/>
                <w:szCs w:val="18"/>
              </w:rPr>
              <w:t xml:space="preserve">Marco Di Cesare (CEO)</w:t>
            </w:r>
          </w:p>
        </w:tc>
        <w:tc>
          <w:tcPr>
            <w:tcW w:type="dxa" w:w="2263"/>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bCs/>
                <w:color w:val="2E7D32"/>
                <w:sz w:val="18"/>
                <w:szCs w:val="18"/>
              </w:rPr>
              <w:t xml:space="preserve">20%</w:t>
            </w:r>
          </w:p>
        </w:tc>
        <w:tc>
          <w:tcPr>
            <w:tcW w:type="dxa" w:w="2263"/>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val="false"/>
                <w:bCs w:val="false"/>
                <w:color w:val="C62828"/>
                <w:sz w:val="18"/>
                <w:szCs w:val="18"/>
              </w:rPr>
              <w:t xml:space="preserve">17.5%</w:t>
            </w:r>
          </w:p>
        </w:tc>
      </w:tr>
      <w:tr>
        <w:tc>
          <w:tcPr>
            <w:tcW w:type="dxa" w:w="45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bCs/>
                <w:color w:val="1A120B"/>
                <w:sz w:val="18"/>
                <w:szCs w:val="18"/>
              </w:rPr>
              <w:t xml:space="preserve">Employee pool</w:t>
            </w:r>
          </w:p>
        </w:tc>
        <w:tc>
          <w:tcPr>
            <w:tcW w:type="dxa" w:w="22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bCs/>
                <w:color w:val="2E7D32"/>
                <w:sz w:val="18"/>
                <w:szCs w:val="18"/>
              </w:rPr>
              <w:t xml:space="preserve">0% (off cap table)</w:t>
            </w:r>
          </w:p>
        </w:tc>
        <w:tc>
          <w:tcPr>
            <w:tcW w:type="dxa" w:w="22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Arial" w:cs="Arial" w:eastAsia="Arial" w:hAnsi="Arial"/>
                <w:b w:val="false"/>
                <w:bCs w:val="false"/>
                <w:color w:val="C62828"/>
                <w:sz w:val="18"/>
                <w:szCs w:val="18"/>
              </w:rPr>
              <w:t xml:space="preserve">10% (real shares)</w:t>
            </w:r>
          </w:p>
        </w:tc>
      </w:tr>
      <w:tr>
        <w:tc>
          <w:tcPr>
            <w:tcW w:type="dxa" w:w="4500"/>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bCs/>
                <w:color w:val="1A120B"/>
                <w:sz w:val="18"/>
                <w:szCs w:val="18"/>
              </w:rPr>
              <w:t xml:space="preserve">Additional minority shareholders to manage</w:t>
            </w:r>
          </w:p>
        </w:tc>
        <w:tc>
          <w:tcPr>
            <w:tcW w:type="dxa" w:w="2263"/>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bCs/>
                <w:color w:val="2E7D32"/>
                <w:sz w:val="18"/>
                <w:szCs w:val="18"/>
              </w:rPr>
              <w:t xml:space="preserve">None</w:t>
            </w:r>
          </w:p>
        </w:tc>
        <w:tc>
          <w:tcPr>
            <w:tcW w:type="dxa" w:w="2263"/>
            <w:tcBorders>
              <w:top w:val="single" w:color="D4CBC2" w:sz="1"/>
              <w:left w:val="single" w:color="D4CBC2" w:sz="1"/>
              <w:bottom w:val="single" w:color="D4CBC2" w:sz="1"/>
              <w:right w:val="single" w:color="D4CBC2" w:sz="1"/>
            </w:tcBorders>
            <w:shd w:fill="F2F0ED" w:val="clear"/>
            <w:tcMar>
              <w:top w:type="dxa" w:w="80"/>
              <w:left w:type="dxa" w:w="120"/>
              <w:bottom w:type="dxa" w:w="80"/>
              <w:right w:type="dxa" w:w="120"/>
            </w:tcMar>
          </w:tcPr>
          <w:p>
            <w:r>
              <w:rPr>
                <w:rFonts w:ascii="Arial" w:cs="Arial" w:eastAsia="Arial" w:hAnsi="Arial"/>
                <w:b w:val="false"/>
                <w:bCs w:val="false"/>
                <w:color w:val="C62828"/>
                <w:sz w:val="18"/>
                <w:szCs w:val="18"/>
              </w:rPr>
              <w:t xml:space="preserve">Every employee</w:t>
            </w:r>
          </w:p>
        </w:tc>
      </w:tr>
    </w:tbl>
    <w:p>
      <w:pPr>
        <w:spacing w:after="0" w:before="200"/>
      </w:pPr>
    </w:p>
    <w:p>
      <w:pPr>
        <w:spacing w:after="200"/>
      </w:pPr>
      <w:r>
        <w:rPr>
          <w:b/>
          <w:bCs/>
        </w:rPr>
        <w:t xml:space="preserve">The difference is significant. </w:t>
      </w:r>
      <w:r>
        <w:t xml:space="preserve">With a PSOP, Amedeo and Corsaro retain 80% real equity (not 75% or 70%). Marco retains a full 20% (not 17.5% or lower). Nobody is diluted. The employee pool’s economic participation exists as a contractual liability, paid from exit proceeds, proportionally shared by all real shareholders. The cap table stays clean — three names, three percentages, no complications.</w:t>
      </w:r>
    </w:p>
    <w:p>
      <w:pPr>
        <w:spacing w:after="200"/>
      </w:pPr>
      <w:r>
        <w:t xml:space="preserve">This matters for three practical reasons. First, when raising capital, investors negotiate with three founders, not three founders plus a dozen small shareholders. Second, corporate decisions (board votes, shareholder resolutions) involve three parties, not fifteen. Third, at exit, the acquirer’s legal team reviews a clean cap table and a standard PSOP contract — adding zero complexity to the transaction.</w:t>
      </w:r>
    </w:p>
    <w:p>
      <w:pPr>
        <w:spacing w:after="0" w:before="200"/>
      </w:pPr>
    </w:p>
    <w:p>
      <w:pPr>
        <w:pStyle w:val="Heading1"/>
      </w:pPr>
      <w:r>
        <w:t xml:space="preserve">11. Summary: Why This Structure Matters</w:t>
      </w:r>
    </w:p>
    <w:p>
      <w:pPr>
        <w:pStyle w:val="ListParagraph"/>
        <w:numPr>
          <w:ilvl w:val="0"/>
          <w:numId w:val="2"/>
        </w:numPr>
        <w:spacing w:after="120"/>
      </w:pPr>
      <w:r>
        <w:rPr>
          <w:b/>
          <w:bCs/>
        </w:rPr>
        <w:t xml:space="preserve">Clean cap table for investors. </w:t>
      </w:r>
      <w:r>
        <w:t xml:space="preserve">When Lumina raises a Series A, the investor sees three shareholders. Not three shareholders plus fifteen small employee stakes with information rights and voting complications. As J.P. Morgan notes: “Phantom equity is rarely a red flag from an investor perspective — as long as it’s modeled properly, governed cleanly, and disclosed early.”</w:t>
      </w:r>
      <w:r>
        <w:rPr>
          <w:rStyle w:val="FootnoteReference"/>
        </w:rPr>
        <w:footnoteReference w:id="9"/>
      </w:r>
    </w:p>
    <w:p>
      <w:pPr>
        <w:pStyle w:val="ListParagraph"/>
        <w:numPr>
          <w:ilvl w:val="0"/>
          <w:numId w:val="2"/>
        </w:numPr>
        <w:spacing w:after="120"/>
      </w:pPr>
      <w:r>
        <w:rPr>
          <w:b/>
          <w:bCs/>
        </w:rPr>
        <w:t xml:space="preserve">Operational simplicity. </w:t>
      </w:r>
      <w:r>
        <w:t xml:space="preserve">Every new hire can be granted phantom shares with a board resolution and a contract. No notary appointments, no capital increases, no commercial register amendments. As MME Legal emphasizes: “No General Meeting resolution, notary involvement, or corporate registry amendments required.”</w:t>
      </w:r>
      <w:r>
        <w:rPr>
          <w:rStyle w:val="FootnoteReference"/>
        </w:rPr>
        <w:footnoteReference w:id="2"/>
      </w:r>
    </w:p>
    <w:p>
      <w:pPr>
        <w:pStyle w:val="ListParagraph"/>
        <w:numPr>
          <w:ilvl w:val="0"/>
          <w:numId w:val="2"/>
        </w:numPr>
        <w:spacing w:after="120"/>
      </w:pPr>
      <w:r>
        <w:rPr>
          <w:b/>
          <w:bCs/>
        </w:rPr>
        <w:t xml:space="preserve">Meaningful employee motivation. </w:t>
      </w:r>
      <w:r>
        <w:t xml:space="preserve">Employees participate in the full upside of the company’s growth. A lead developer with 1.5% phantom shares gets €570K on a €38M exit. That’s life-changing compensation that drives retention without costing the company anything until the exit actually happens.</w:t>
      </w:r>
    </w:p>
    <w:p>
      <w:pPr>
        <w:pStyle w:val="ListParagraph"/>
        <w:numPr>
          <w:ilvl w:val="0"/>
          <w:numId w:val="2"/>
        </w:numPr>
        <w:spacing w:after="120"/>
      </w:pPr>
      <w:r>
        <w:rPr>
          <w:b/>
          <w:bCs/>
        </w:rPr>
        <w:t xml:space="preserve">No cash outflow until exit. </w:t>
      </w:r>
      <w:r>
        <w:t xml:space="preserve">Unlike salary bonuses or profit-sharing, phantom shares cost the company zero in operating cash flow. The payout comes from the acquisition proceeds. This is critical for a startup managing burn rate carefully.</w:t>
      </w:r>
    </w:p>
    <w:p>
      <w:pPr>
        <w:pStyle w:val="ListParagraph"/>
        <w:numPr>
          <w:ilvl w:val="0"/>
          <w:numId w:val="2"/>
        </w:numPr>
        <w:spacing w:after="120"/>
      </w:pPr>
      <w:r>
        <w:rPr>
          <w:b/>
          <w:bCs/>
        </w:rPr>
        <w:t xml:space="preserve">Proven European standard. </w:t>
      </w:r>
      <w:r>
        <w:t xml:space="preserve">Over 80% of German startups use VSOPs (phantom shares).</w:t>
      </w:r>
      <w:r>
        <w:rPr>
          <w:rStyle w:val="FootnoteReference"/>
        </w:rPr>
        <w:footnoteReference w:id="14"/>
      </w:r>
      <w:r>
        <w:t xml:space="preserve"> N26, Personio, and Celonis used virtual share structures to build billion-euro companies. Ledgy (Zurich, Sequoia-backed) provides dedicated PSOP management for Swiss startups. This is not experimental — it is standard practice across Europe’s most successful tech companies.</w:t>
      </w:r>
    </w:p>
    <w:p>
      <w:pPr>
        <w:spacing w:after="0" w:before="400"/>
      </w:pPr>
    </w:p>
    <w:p>
      <w:pPr>
        <w:pStyle w:val="Heading1"/>
      </w:pPr>
      <w:r>
        <w:t xml:space="preserve">Sources</w:t>
      </w:r>
    </w:p>
    <w:p>
      <w:pPr>
        <w:spacing w:after="100"/>
      </w:pPr>
      <w:r>
        <w:rPr>
          <w:color w:val="666666"/>
          <w:sz w:val="20"/>
          <w:szCs w:val="20"/>
        </w:rPr>
        <w:t xml:space="preserve">All sources referenced in this document via footnotes. Key references:</w:t>
      </w:r>
    </w:p>
    <w:p>
      <w:pPr>
        <w:pStyle w:val="ListParagraph"/>
        <w:numPr>
          <w:ilvl w:val="0"/>
          <w:numId w:val="2"/>
        </w:numPr>
        <w:spacing w:after="60"/>
      </w:pPr>
      <w:r>
        <w:rPr>
          <w:color w:val="666666"/>
          <w:sz w:val="18"/>
          <w:szCs w:val="18"/>
        </w:rPr>
        <w:t xml:space="preserve">LEXR AG (Zurich) — lexr.com/en-ch/blog/phantom-share-plan-setup-payouts-benefits/</w:t>
      </w:r>
    </w:p>
    <w:p>
      <w:pPr>
        <w:pStyle w:val="ListParagraph"/>
        <w:numPr>
          <w:ilvl w:val="0"/>
          <w:numId w:val="2"/>
        </w:numPr>
        <w:spacing w:after="60"/>
      </w:pPr>
      <w:r>
        <w:rPr>
          <w:color w:val="666666"/>
          <w:sz w:val="18"/>
          <w:szCs w:val="18"/>
        </w:rPr>
        <w:t xml:space="preserve">MME Legal (Zurich) — mme.ch/en/magazine/articles/phantom-shares-virtual-shareholdings</w:t>
      </w:r>
    </w:p>
    <w:p>
      <w:pPr>
        <w:pStyle w:val="ListParagraph"/>
        <w:numPr>
          <w:ilvl w:val="0"/>
          <w:numId w:val="2"/>
        </w:numPr>
        <w:spacing w:after="60"/>
      </w:pPr>
      <w:r>
        <w:rPr>
          <w:color w:val="666666"/>
          <w:sz w:val="18"/>
          <w:szCs w:val="18"/>
        </w:rPr>
        <w:t xml:space="preserve">Pestalozzi Attorneys (Zurich) — pestalozzilaw.com/en/insights/news/legal-insights/taxation-employee-equity-incentives-switzerland/</w:t>
      </w:r>
    </w:p>
    <w:p>
      <w:pPr>
        <w:pStyle w:val="ListParagraph"/>
        <w:numPr>
          <w:ilvl w:val="0"/>
          <w:numId w:val="2"/>
        </w:numPr>
        <w:spacing w:after="60"/>
      </w:pPr>
      <w:r>
        <w:rPr>
          <w:color w:val="666666"/>
          <w:sz w:val="18"/>
          <w:szCs w:val="18"/>
        </w:rPr>
        <w:t xml:space="preserve">VISCHER AG (Basel/Zurich) — vischer.com/en/knowledge/blog/employee-participation-part-1-40236/</w:t>
      </w:r>
    </w:p>
    <w:p>
      <w:pPr>
        <w:pStyle w:val="ListParagraph"/>
        <w:numPr>
          <w:ilvl w:val="0"/>
          <w:numId w:val="2"/>
        </w:numPr>
        <w:spacing w:after="60"/>
      </w:pPr>
      <w:r>
        <w:rPr>
          <w:color w:val="666666"/>
          <w:sz w:val="18"/>
          <w:szCs w:val="18"/>
        </w:rPr>
        <w:t xml:space="preserve">Walder Wyss (Zurich) — Thomson Reuters Practical Law, Employee Share Plans in Switzerland, 2020</w:t>
      </w:r>
    </w:p>
    <w:p>
      <w:pPr>
        <w:pStyle w:val="ListParagraph"/>
        <w:numPr>
          <w:ilvl w:val="0"/>
          <w:numId w:val="2"/>
        </w:numPr>
        <w:spacing w:after="60"/>
      </w:pPr>
      <w:r>
        <w:rPr>
          <w:color w:val="666666"/>
          <w:sz w:val="18"/>
          <w:szCs w:val="18"/>
        </w:rPr>
        <w:t xml:space="preserve">Swiss Federal Tax Administration — Circular Letter No. 37 (Kreisschreiben 37), amended October 2020</w:t>
      </w:r>
    </w:p>
    <w:p>
      <w:pPr>
        <w:pStyle w:val="ListParagraph"/>
        <w:numPr>
          <w:ilvl w:val="0"/>
          <w:numId w:val="2"/>
        </w:numPr>
        <w:spacing w:after="60"/>
      </w:pPr>
      <w:r>
        <w:rPr>
          <w:color w:val="666666"/>
          <w:sz w:val="18"/>
          <w:szCs w:val="18"/>
        </w:rPr>
        <w:t xml:space="preserve">Swiss Startup Association — swissstartupassociation.ch/2020/11/20/employee-stock-participation-esop/</w:t>
      </w:r>
    </w:p>
    <w:p>
      <w:pPr>
        <w:pStyle w:val="ListParagraph"/>
        <w:numPr>
          <w:ilvl w:val="0"/>
          <w:numId w:val="2"/>
        </w:numPr>
        <w:spacing w:after="60"/>
      </w:pPr>
      <w:r>
        <w:rPr>
          <w:color w:val="666666"/>
          <w:sz w:val="18"/>
          <w:szCs w:val="18"/>
        </w:rPr>
        <w:t xml:space="preserve">Konsento AG (Zurich) — konsento.ch/en/post/employee-participation-in-switzerland</w:t>
      </w:r>
    </w:p>
    <w:p>
      <w:pPr>
        <w:pStyle w:val="ListParagraph"/>
        <w:numPr>
          <w:ilvl w:val="0"/>
          <w:numId w:val="2"/>
        </w:numPr>
        <w:spacing w:after="60"/>
      </w:pPr>
      <w:r>
        <w:rPr>
          <w:color w:val="666666"/>
          <w:sz w:val="18"/>
          <w:szCs w:val="18"/>
        </w:rPr>
        <w:t xml:space="preserve">Ledgy AG (Zurich) — ledgy.com/blog/esop-vs-psop</w:t>
      </w:r>
    </w:p>
    <w:p>
      <w:pPr>
        <w:pStyle w:val="ListParagraph"/>
        <w:numPr>
          <w:ilvl w:val="0"/>
          <w:numId w:val="2"/>
        </w:numPr>
        <w:spacing w:after="60"/>
      </w:pPr>
      <w:r>
        <w:rPr>
          <w:color w:val="666666"/>
          <w:sz w:val="18"/>
          <w:szCs w:val="18"/>
        </w:rPr>
        <w:t xml:space="preserve">J.P. Morgan — jpmorgan.com/insights/business-planning/understanding-phantom-equity-and-stock-plans-for-startups</w:t>
      </w:r>
    </w:p>
    <w:p>
      <w:pPr>
        <w:pStyle w:val="ListParagraph"/>
        <w:numPr>
          <w:ilvl w:val="0"/>
          <w:numId w:val="2"/>
        </w:numPr>
        <w:spacing w:after="60"/>
      </w:pPr>
      <w:r>
        <w:rPr>
          <w:color w:val="666666"/>
          <w:sz w:val="18"/>
          <w:szCs w:val="18"/>
        </w:rPr>
        <w:t xml:space="preserve">NCEO — nceo.org/articles/phantom-stock-appreciation-rights-sars</w:t>
      </w:r>
    </w:p>
    <w:p>
      <w:pPr>
        <w:pStyle w:val="ListParagraph"/>
        <w:numPr>
          <w:ilvl w:val="0"/>
          <w:numId w:val="2"/>
        </w:numPr>
        <w:spacing w:after="60"/>
      </w:pPr>
      <w:r>
        <w:rPr>
          <w:color w:val="666666"/>
          <w:sz w:val="18"/>
          <w:szCs w:val="18"/>
        </w:rPr>
        <w:t xml:space="preserve">Saltox — saltox.co/resources/articles/phantom-equity</w:t>
      </w:r>
    </w:p>
    <w:p>
      <w:pPr>
        <w:pStyle w:val="ListParagraph"/>
        <w:numPr>
          <w:ilvl w:val="0"/>
          <w:numId w:val="2"/>
        </w:numPr>
        <w:spacing w:after="60"/>
      </w:pPr>
      <w:r>
        <w:rPr>
          <w:color w:val="666666"/>
          <w:sz w:val="18"/>
          <w:szCs w:val="18"/>
        </w:rPr>
        <w:t xml:space="preserve">Harvard Business School — Note on ESOPs and Phantom Stock Plans, HBS Faculty &amp; Research</w:t>
      </w:r>
    </w:p>
    <w:p>
      <w:pPr>
        <w:pStyle w:val="ListParagraph"/>
        <w:numPr>
          <w:ilvl w:val="0"/>
          <w:numId w:val="2"/>
        </w:numPr>
        <w:spacing w:after="60"/>
      </w:pPr>
      <w:r>
        <w:rPr>
          <w:color w:val="666666"/>
          <w:sz w:val="18"/>
          <w:szCs w:val="18"/>
        </w:rPr>
        <w:t xml:space="preserve">Gaia Law (Berlin) — gaia.law/resources/esopvsvsop</w:t>
      </w:r>
    </w:p>
    <w:p>
      <w:pPr>
        <w:pStyle w:val="ListParagraph"/>
        <w:numPr>
          <w:ilvl w:val="0"/>
          <w:numId w:val="2"/>
        </w:numPr>
        <w:spacing w:after="60"/>
      </w:pPr>
      <w:r>
        <w:rPr>
          <w:color w:val="666666"/>
          <w:sz w:val="18"/>
          <w:szCs w:val="18"/>
        </w:rPr>
        <w:t xml:space="preserve">Swiss Code of Obligations, Articles 656a–656f (Participation Certificates)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color w:val="666666"/>
          <w:sz w:val="16"/>
          <w:szCs w:val="16"/>
        </w:rPr>
        <w:t xml:space="preserve">LEXR AG (Zurich), "Phantom Share Plan Guide: Setup, Payouts &amp; Benefits", lexr.com/en-ch/blog/phantom-share-plan-setup-payouts-benefits/</w:t>
      </w:r>
    </w:p>
  </w:footnote>
  <w:footnote w:id="2">
    <w:p>
      <w:r>
        <w:rPr>
          <w:rStyle w:val="FootnoteReference"/>
        </w:rPr>
        <w:footnoteRef/>
      </w:r>
      <w:r>
        <w:rPr>
          <w:rFonts w:ascii="Arial" w:cs="Arial" w:eastAsia="Arial" w:hAnsi="Arial"/>
          <w:color w:val="666666"/>
          <w:sz w:val="16"/>
          <w:szCs w:val="16"/>
        </w:rPr>
        <w:t xml:space="preserve">MME Legal (Zurich), "Phantom Shares – Virtual Shareholdings", mme.ch/en/magazine/articles/phantom-shares-virtual-shareholdings</w:t>
      </w:r>
    </w:p>
  </w:footnote>
  <w:footnote w:id="3">
    <w:p>
      <w:r>
        <w:rPr>
          <w:rStyle w:val="FootnoteReference"/>
        </w:rPr>
        <w:footnoteRef/>
      </w:r>
      <w:r>
        <w:rPr>
          <w:rFonts w:ascii="Arial" w:cs="Arial" w:eastAsia="Arial" w:hAnsi="Arial"/>
          <w:color w:val="666666"/>
          <w:sz w:val="16"/>
          <w:szCs w:val="16"/>
        </w:rPr>
        <w:t xml:space="preserve">Pestalozzi Attorneys (Zurich), "Taxation of Employee Equity Incentives in Switzerland", pestalozzilaw.com/en/insights/news/legal-insights/taxation-employee-equity-incentives-switzerland/</w:t>
      </w:r>
    </w:p>
  </w:footnote>
  <w:footnote w:id="4">
    <w:p>
      <w:r>
        <w:rPr>
          <w:rStyle w:val="FootnoteReference"/>
        </w:rPr>
        <w:footnoteRef/>
      </w:r>
      <w:r>
        <w:rPr>
          <w:rFonts w:ascii="Arial" w:cs="Arial" w:eastAsia="Arial" w:hAnsi="Arial"/>
          <w:color w:val="666666"/>
          <w:sz w:val="16"/>
          <w:szCs w:val="16"/>
        </w:rPr>
        <w:t xml:space="preserve">VISCHER AG (Basel/Zurich), "Employee Participation (Part 1)", vischer.com/en/knowledge/blog/employee-participation-part-1-40236/</w:t>
      </w:r>
    </w:p>
  </w:footnote>
  <w:footnote w:id="5">
    <w:p>
      <w:r>
        <w:rPr>
          <w:rStyle w:val="FootnoteReference"/>
        </w:rPr>
        <w:footnoteRef/>
      </w:r>
      <w:r>
        <w:rPr>
          <w:rFonts w:ascii="Arial" w:cs="Arial" w:eastAsia="Arial" w:hAnsi="Arial"/>
          <w:color w:val="666666"/>
          <w:sz w:val="16"/>
          <w:szCs w:val="16"/>
        </w:rPr>
        <w:t xml:space="preserve">Walder Wyss (Zurich), "Employee Share Plans in Switzerland: Regulatory Overview", Thomson Reuters Practical Law, 2020</w:t>
      </w:r>
    </w:p>
  </w:footnote>
  <w:footnote w:id="6">
    <w:p>
      <w:r>
        <w:rPr>
          <w:rStyle w:val="FootnoteReference"/>
        </w:rPr>
        <w:footnoteRef/>
      </w:r>
      <w:r>
        <w:rPr>
          <w:rFonts w:ascii="Arial" w:cs="Arial" w:eastAsia="Arial" w:hAnsi="Arial"/>
          <w:color w:val="666666"/>
          <w:sz w:val="16"/>
          <w:szCs w:val="16"/>
        </w:rPr>
        <w:t xml:space="preserve">Swiss Federal Tax Administration, Circular Letter No. 37 "Taxation of Employee Participations", amended October 30, 2020, effective January 1, 2021</w:t>
      </w:r>
    </w:p>
  </w:footnote>
  <w:footnote w:id="7">
    <w:p>
      <w:r>
        <w:rPr>
          <w:rStyle w:val="FootnoteReference"/>
        </w:rPr>
        <w:footnoteRef/>
      </w:r>
      <w:r>
        <w:rPr>
          <w:rFonts w:ascii="Arial" w:cs="Arial" w:eastAsia="Arial" w:hAnsi="Arial"/>
          <w:color w:val="666666"/>
          <w:sz w:val="16"/>
          <w:szCs w:val="16"/>
        </w:rPr>
        <w:t xml:space="preserve">Konsento AG (Zurich), "Employee Participation in Switzerland: Advantages of Phantom Shares and Participation Certificates", konsento.ch</w:t>
      </w:r>
    </w:p>
  </w:footnote>
  <w:footnote w:id="8">
    <w:p>
      <w:r>
        <w:rPr>
          <w:rStyle w:val="FootnoteReference"/>
        </w:rPr>
        <w:footnoteRef/>
      </w:r>
      <w:r>
        <w:rPr>
          <w:rFonts w:ascii="Arial" w:cs="Arial" w:eastAsia="Arial" w:hAnsi="Arial"/>
          <w:color w:val="666666"/>
          <w:sz w:val="16"/>
          <w:szCs w:val="16"/>
        </w:rPr>
        <w:t xml:space="preserve">Ledgy AG (Zurich), "How Does a Phantom Stock Plan Work? (PSOP vs ESOP)", ledgy.com/blog/esop-vs-psop</w:t>
      </w:r>
    </w:p>
  </w:footnote>
  <w:footnote w:id="9">
    <w:p>
      <w:r>
        <w:rPr>
          <w:rStyle w:val="FootnoteReference"/>
        </w:rPr>
        <w:footnoteRef/>
      </w:r>
      <w:r>
        <w:rPr>
          <w:rFonts w:ascii="Arial" w:cs="Arial" w:eastAsia="Arial" w:hAnsi="Arial"/>
          <w:color w:val="666666"/>
          <w:sz w:val="16"/>
          <w:szCs w:val="16"/>
        </w:rPr>
        <w:t xml:space="preserve">J.P. Morgan, "Understanding Phantom Equity &amp; Stock Plans for Startups", jpmorgan.com/insights/business-planning/understanding-phantom-equity-and-stock-plans-for-startups</w:t>
      </w:r>
    </w:p>
  </w:footnote>
  <w:footnote w:id="10">
    <w:p>
      <w:r>
        <w:rPr>
          <w:rStyle w:val="FootnoteReference"/>
        </w:rPr>
        <w:footnoteRef/>
      </w:r>
      <w:r>
        <w:rPr>
          <w:rFonts w:ascii="Arial" w:cs="Arial" w:eastAsia="Arial" w:hAnsi="Arial"/>
          <w:color w:val="666666"/>
          <w:sz w:val="16"/>
          <w:szCs w:val="16"/>
        </w:rPr>
        <w:t xml:space="preserve">NCEO (National Center for Employee Ownership), "Phantom Stock and Stock Appreciation Rights (SARs)", nceo.org</w:t>
      </w:r>
    </w:p>
  </w:footnote>
  <w:footnote w:id="11">
    <w:p>
      <w:r>
        <w:rPr>
          <w:rStyle w:val="FootnoteReference"/>
        </w:rPr>
        <w:footnoteRef/>
      </w:r>
      <w:r>
        <w:rPr>
          <w:rFonts w:ascii="Arial" w:cs="Arial" w:eastAsia="Arial" w:hAnsi="Arial"/>
          <w:color w:val="666666"/>
          <w:sz w:val="16"/>
          <w:szCs w:val="16"/>
        </w:rPr>
        <w:t xml:space="preserve">Saltox, "Phantom Equity: A Simple Guide for Europe", saltox.co/resources/articles/phantom-equity</w:t>
      </w:r>
    </w:p>
  </w:footnote>
  <w:footnote w:id="12">
    <w:p>
      <w:r>
        <w:rPr>
          <w:rStyle w:val="FootnoteReference"/>
        </w:rPr>
        <w:footnoteRef/>
      </w:r>
      <w:r>
        <w:rPr>
          <w:rFonts w:ascii="Arial" w:cs="Arial" w:eastAsia="Arial" w:hAnsi="Arial"/>
          <w:color w:val="666666"/>
          <w:sz w:val="16"/>
          <w:szCs w:val="16"/>
        </w:rPr>
        <w:t xml:space="preserve">Swiss Startup Association, "An Overview of ESOP", swissstartupassociation.ch, November 2020</w:t>
      </w:r>
    </w:p>
  </w:footnote>
  <w:footnote w:id="13">
    <w:p>
      <w:r>
        <w:rPr>
          <w:rStyle w:val="FootnoteReference"/>
        </w:rPr>
        <w:footnoteRef/>
      </w:r>
      <w:r>
        <w:rPr>
          <w:rFonts w:ascii="Arial" w:cs="Arial" w:eastAsia="Arial" w:hAnsi="Arial"/>
          <w:color w:val="666666"/>
          <w:sz w:val="16"/>
          <w:szCs w:val="16"/>
        </w:rPr>
        <w:t xml:space="preserve">Harvard Business School, "Note on Employee Stock Ownership Plans (ESOPs) and Phantom Stock Plans", HBS Faculty &amp; Research</w:t>
      </w:r>
    </w:p>
  </w:footnote>
  <w:footnote w:id="14">
    <w:p>
      <w:r>
        <w:rPr>
          <w:rStyle w:val="FootnoteReference"/>
        </w:rPr>
        <w:footnoteRef/>
      </w:r>
      <w:r>
        <w:rPr>
          <w:rFonts w:ascii="Arial" w:cs="Arial" w:eastAsia="Arial" w:hAnsi="Arial"/>
          <w:color w:val="666666"/>
          <w:sz w:val="16"/>
          <w:szCs w:val="16"/>
        </w:rPr>
        <w:t xml:space="preserve">Gaia Law (Berlin), "ESOPs vs. VSOPs in Germany: Choosing the Right Employee Incentive Scheme", gaia.law/resources/esopvsvsop</w:t>
      </w:r>
    </w:p>
  </w:footnote>
  <w:footnote w:id="15">
    <w:p>
      <w:r>
        <w:rPr>
          <w:rStyle w:val="FootnoteReference"/>
        </w:rPr>
        <w:footnoteRef/>
      </w:r>
      <w:r>
        <w:rPr>
          <w:rFonts w:ascii="Arial" w:cs="Arial" w:eastAsia="Arial" w:hAnsi="Arial"/>
          <w:color w:val="666666"/>
          <w:sz w:val="16"/>
          <w:szCs w:val="16"/>
        </w:rPr>
        <w:t xml:space="preserve">Swiss Code of Obligations, Articles 656a–656f (Participation Certificates / Partizipationsscheine)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LUMINA  ·  Phantom Share Plan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20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8B4A2B"/>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1A120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8B4A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2026-03-29T20:03:00.810Z</dcterms:created>
  <dcterms:modified xsi:type="dcterms:W3CDTF">2026-03-29T20:03:00.810Z</dcterms:modified>
</cp:coreProperties>
</file>

<file path=docProps/custom.xml><?xml version="1.0" encoding="utf-8"?>
<Properties xmlns="http://schemas.openxmlformats.org/officeDocument/2006/custom-properties" xmlns:vt="http://schemas.openxmlformats.org/officeDocument/2006/docPropsVTypes"/>
</file>