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Revisão UX Avançada</w:t>
      </w:r>
    </w:p>
    <w:p>
      <w:pPr>
        <w:spacing w:after="80"/>
        <w:jc w:val="center"/>
      </w:pPr>
      <w:r>
        <w:rPr>
          <w:color w:val="555555"/>
          <w:sz w:val="28"/>
          <w:szCs w:val="28"/>
        </w:rPr>
        <w:t xml:space="preserve">Portfólio Marco Vinicius — marcodsvinicius.com</w:t>
      </w:r>
    </w:p>
    <w:p>
      <w:pPr>
        <w:spacing w:after="40"/>
        <w:jc w:val="center"/>
      </w:pPr>
      <w:r>
        <w:rPr>
          <w:color w:val="888888"/>
          <w:sz w:val="24"/>
          <w:szCs w:val="24"/>
        </w:rPr>
        <w:t xml:space="preserve">Conteúdo e interação — versões PT-BR e EN</w:t>
      </w:r>
    </w:p>
    <w:p>
      <w:pPr>
        <w:spacing w:after="2000"/>
        <w:jc w:val="center"/>
      </w:pPr>
      <w:r>
        <w:rPr>
          <w:i/>
          <w:iCs/>
          <w:color w:val="999999"/>
          <w:sz w:val="20"/>
          <w:szCs w:val="20"/>
        </w:rPr>
        <w:t xml:space="preserve">24 de julho de 2026</w:t>
      </w:r>
    </w:p>
    <w:p>
      <w:pPr>
        <w:spacing w:after="80"/>
        <w:jc w:val="center"/>
      </w:pPr>
      <w:r>
        <w:rPr>
          <w:b/>
          <w:bCs/>
          <w:sz w:val="20"/>
          <w:szCs w:val="20"/>
        </w:rPr>
        <w:t xml:space="preserve">Páginas revisadas:</w:t>
      </w:r>
    </w:p>
    <w:p>
      <w:pPr>
        <w:spacing w:after="20"/>
        <w:jc w:val="center"/>
      </w:pPr>
      <w:r>
        <w:rPr>
          <w:color w:val="555555"/>
          <w:sz w:val="20"/>
          <w:szCs w:val="20"/>
        </w:rPr>
        <w:t xml:space="preserve">/pt: index, Hub de Obras, Design System, Rebalanceamento de Carteira, Tour Guiado</w:t>
      </w:r>
    </w:p>
    <w:p>
      <w:pPr>
        <w:jc w:val="center"/>
      </w:pPr>
      <w:r>
        <w:rPr>
          <w:color w:val="555555"/>
          <w:sz w:val="20"/>
          <w:szCs w:val="20"/>
        </w:rPr>
        <w:t xml:space="preserve">/en: mesmas 5 páginas, versão em inglês</w:t>
      </w:r>
    </w:p>
    <w:p>
      <w:pPr>
        <w:pageBreakBefore/>
      </w:pPr>
      <w:r>
        <w:br/>
        <w:t xml:space="preserve"/>
      </w:r>
    </w:p>
    <w:p>
      <w:pPr>
        <w:pStyle w:val="Heading1"/>
        <w:pBdr>
          <w:bottom w:val="single" w:color="6B8E00" w:sz="12" w:space="4"/>
        </w:pBdr>
        <w:spacing w:after="200" w:before="480"/>
      </w:pPr>
      <w:r>
        <w:t xml:space="preserve">Relatório 1 — Versão PT-BR</w:t>
      </w:r>
    </w:p>
    <w:p>
      <w:pPr>
        <w:pStyle w:val="Heading2"/>
        <w:spacing w:after="120" w:before="320"/>
      </w:pPr>
      <w:r>
        <w:rPr>
          <w:color w:val="6B8E00"/>
        </w:rPr>
        <w:t xml:space="preserve">O que já está forte</w:t>
      </w:r>
    </w:p>
    <w:p>
      <w:pPr>
        <w:spacing w:after="160"/>
      </w:pPr>
      <w:r>
        <w:t xml:space="preserve">Consistência visual impecável entre os 5 cases (grid de 6 seções, cor de destaque, tipografia, ritmo de scroll), boa narrativa em Cenário → Estratégia → Solução → Impacto → Aprendizados, e o Hub de Obras se destaca por ser o único case com métricas duras (-75% em GMUDs, 30min→2min, 1 dia→1h). Isso é bom storytelling de produto.</w:t>
      </w:r>
    </w:p>
    <w:p>
      <w:pPr>
        <w:pStyle w:val="Heading2"/>
        <w:spacing w:after="120" w:before="320"/>
      </w:pPr>
      <w:r>
        <w:rPr>
          <w:color w:val="6B8E00"/>
        </w:rPr>
        <w:t xml:space="preserve">Conteúdo</w:t>
      </w:r>
    </w:p>
    <w:p>
      <w:pPr>
        <w:spacing w:after="80" w:before="240"/>
      </w:pPr>
      <w:r>
        <w:rPr>
          <w:b/>
          <w:bCs/>
          <w:color w:val="6B8E00"/>
        </w:rPr>
        <w:t xml:space="preserve">1. </w:t>
      </w:r>
      <w:r>
        <w:rPr>
          <w:b/>
          <w:bCs/>
        </w:rPr>
        <w:t xml:space="preserve">O card /01 da home é uma porta fechada — reconsiderar a ordem</w:t>
      </w:r>
    </w:p>
    <w:p>
      <w:pPr>
        <w:spacing w:after="120"/>
      </w:pPr>
      <w:r>
        <w:t xml:space="preserve">Hub de Obras é o primeiro projeto que qualquer visitante vê, e é justamente o único que exige senha. Isso significa que a primeira impressão do portfólio, para quase todo mundo que chega, é uma trava. Sugiro mover Hub de Obras para o final da grid (ou pelo menos não /01), deixando os cases 100% acessíveis na frente. O trabalho de gate ficou ótimo — o problema é só de hierarquia/ordem.</w:t>
      </w:r>
    </w:p>
    <w:p>
      <w:pPr>
        <w:spacing w:after="80" w:before="240"/>
      </w:pPr>
      <w:r>
        <w:rPr>
          <w:b/>
          <w:bCs/>
          <w:color w:val="6B8E00"/>
        </w:rPr>
        <w:t xml:space="preserve">2. </w:t>
      </w:r>
      <w:r>
        <w:rPr>
          <w:b/>
          <w:bCs/>
        </w:rPr>
        <w:t xml:space="preserve">Impacto qualitativo demais em 3 dos 4 cases</w:t>
      </w:r>
    </w:p>
    <w:p>
      <w:pPr>
        <w:spacing w:after="120"/>
      </w:pPr>
      <w:r>
        <w:t xml:space="preserve">Hub de Obras tem números fortes; Design System, Rebalanceamento e Tour Guiado têm cards de impacto só com adjetivos ("Mais Ágil", "Fim da Evasão", "Aumento de Engajamento") sem nenhum percentual, nem estimado. Para uma audiência sênior que avalia impacto de negócio, essa é a lacuna de conteúdo mais valiosa a resolver — mesmo uma métrica direcional aproximada ("~30% menos retrabalho no handoff") eleva a credibilidade dos outros 3 cases ao nível do Hub de Obras.</w:t>
      </w:r>
    </w:p>
    <w:p>
      <w:pPr>
        <w:spacing w:after="80" w:before="240"/>
      </w:pPr>
      <w:r>
        <w:rPr>
          <w:b/>
          <w:bCs/>
          <w:color w:val="6B8E00"/>
        </w:rPr>
        <w:t xml:space="preserve">3. </w:t>
      </w:r>
      <w:r>
        <w:rPr>
          <w:b/>
          <w:bCs/>
        </w:rPr>
        <w:t xml:space="preserve">Nomear "Renan Paz" no case de Rebalanceamento</w:t>
      </w:r>
    </w:p>
    <w:p>
      <w:pPr>
        <w:spacing w:after="120"/>
      </w:pPr>
      <w:r>
        <w:t xml:space="preserve">Vale confirmar se essa pessoa está confortável sendo citada nominalmente em um material público — não é um erro, é só um ponto de atenção comum em revisão sênior antes de publicar.</w:t>
      </w:r>
    </w:p>
    <w:p>
      <w:pPr>
        <w:spacing w:after="80" w:before="240"/>
      </w:pPr>
      <w:r>
        <w:rPr>
          <w:b/>
          <w:bCs/>
          <w:color w:val="6B8E00"/>
        </w:rPr>
        <w:t xml:space="preserve">4. </w:t>
      </w:r>
      <w:r>
        <w:rPr>
          <w:b/>
          <w:bCs/>
        </w:rPr>
        <w:t xml:space="preserve">Estrutura inconsistente entre cases</w:t>
      </w:r>
    </w:p>
    <w:p>
      <w:pPr>
        <w:spacing w:after="120"/>
      </w:pPr>
      <w:r>
        <w:t xml:space="preserve">Design System é o único que não tem o bloco "Visualização do Processo Antigo" (antes/depois). Os outros três têm, com quantidades de imagens diferentes (1, 2 ou 3). Não precisa ser idêntico, mas padronizar dá a sensação de "sistema" — coerente com o próprio tema de um dos cases.</w:t>
      </w:r>
    </w:p>
    <w:p>
      <w:pPr>
        <w:spacing w:after="80" w:before="240"/>
      </w:pPr>
      <w:r>
        <w:rPr>
          <w:b/>
          <w:bCs/>
          <w:color w:val="6B8E00"/>
        </w:rPr>
        <w:t xml:space="preserve">5. </w:t>
      </w:r>
      <w:r>
        <w:rPr>
          <w:b/>
          <w:bCs/>
        </w:rPr>
        <w:t xml:space="preserve">Currículo demais no "Cursos e Especializações"</w:t>
      </w:r>
    </w:p>
    <w:p>
      <w:pPr>
        <w:spacing w:after="120"/>
      </w:pPr>
      <w:r>
        <w:t xml:space="preserve">Muitos certificados curtos do LinkedIn Learning (Prompt Engineering, IA Generativa, Liderança com IA, etc.) com o mesmo peso visual da pós-graduação. Para leitura rápida por recrutador, considere agrupar os certificados curtos numa linha só ("+8 certificações complementares em IA — ver todas") e manter só formação acadêmica e cursos mais robustos em destaque individual.</w:t>
      </w:r>
    </w:p>
    <w:p>
      <w:pPr>
        <w:spacing w:after="80" w:before="240"/>
      </w:pPr>
      <w:r>
        <w:rPr>
          <w:b/>
          <w:bCs/>
          <w:color w:val="6B8E00"/>
        </w:rPr>
        <w:t xml:space="preserve">6. </w:t>
      </w:r>
      <w:r>
        <w:rPr>
          <w:b/>
          <w:bCs/>
        </w:rPr>
        <w:t xml:space="preserve">Faltam meta tags de SEO/compartilhamento</w:t>
      </w:r>
    </w:p>
    <w:p>
      <w:pPr>
        <w:spacing w:after="120"/>
      </w:pPr>
      <w:r>
        <w:t xml:space="preserve">Não há meta description nem Open Graph (og:title, og:image, og:description) no &lt;head&gt;. Se alguém compartilhar o link no LinkedIn/WhatsApp, o preview vem vazio ou genérico — para um portfólio que depende de ser compartilhado, isso é uma perda de oportunidade fácil de resolver.</w:t>
      </w:r>
    </w:p>
    <w:p>
      <w:pPr>
        <w:pStyle w:val="Heading2"/>
        <w:spacing w:after="120" w:before="320"/>
      </w:pPr>
      <w:r>
        <w:rPr>
          <w:color w:val="6B8E00"/>
        </w:rPr>
        <w:t xml:space="preserve">Interação</w:t>
      </w:r>
    </w:p>
    <w:p>
      <w:pPr>
        <w:spacing w:after="80" w:before="240"/>
      </w:pPr>
      <w:r>
        <w:rPr>
          <w:b/>
          <w:bCs/>
          <w:color w:val="6B8E00"/>
        </w:rPr>
        <w:t xml:space="preserve">7. </w:t>
      </w:r>
      <w:r>
        <w:rPr>
          <w:b/>
          <w:bCs/>
        </w:rPr>
        <w:t xml:space="preserve">Botões de carrossel invisíveis no mobile</w:t>
      </w:r>
    </w:p>
    <w:p>
      <w:pPr>
        <w:spacing w:after="120"/>
      </w:pPr>
      <w:r>
        <w:t xml:space="preserve">As setas do carrossel "Processo Antigo" só aparecem no hover (opacity-0 group-hover:opacity-100) — em touch não existe hover, então no celular esses botões ficam praticamente indetectáveis. E nenhum carrossel do site tem suporte a swipe. Como boa parte do tráfego de portfólio tende a vir de celular (LinkedIn, WhatsApp), essa é a fricção de interação mais impactante encontrada.</w:t>
      </w:r>
    </w:p>
    <w:p>
      <w:pPr>
        <w:spacing w:after="80" w:before="240"/>
      </w:pPr>
      <w:r>
        <w:rPr>
          <w:b/>
          <w:bCs/>
          <w:color w:val="6B8E00"/>
        </w:rPr>
        <w:t xml:space="preserve">8. </w:t>
      </w:r>
      <w:r>
        <w:rPr>
          <w:b/>
          <w:bCs/>
        </w:rPr>
        <w:t xml:space="preserve">Sem navegação entre cases</w:t>
      </w:r>
    </w:p>
    <w:p>
      <w:pPr>
        <w:spacing w:after="120"/>
      </w:pPr>
      <w:r>
        <w:t xml:space="preserve">Cada case só tem "Voltar aos Projetos" — não existe "Próximo case →". Isso obriga quem está avaliando a voltar pra home a cada clique. Um link de próximo/anterior no rodapé de cada case reduziria bastante o atrito de quem quer ver o portfólio inteiro numa sentada.</w:t>
      </w:r>
    </w:p>
    <w:p>
      <w:pPr>
        <w:spacing w:after="80" w:before="240"/>
      </w:pPr>
      <w:r>
        <w:rPr>
          <w:b/>
          <w:bCs/>
          <w:color w:val="6B8E00"/>
        </w:rPr>
        <w:t xml:space="preserve">9. </w:t>
      </w:r>
      <w:r>
        <w:rPr>
          <w:b/>
          <w:bCs/>
        </w:rPr>
        <w:t xml:space="preserve">Alt text genérico e estático nas imagens de carrossel</w:t>
      </w:r>
    </w:p>
    <w:p>
      <w:pPr>
        <w:spacing w:after="120"/>
      </w:pPr>
      <w:r>
        <w:t xml:space="preserve">alt="Tela da Solução" se repete em todas as imagens trocadas via JS, mesmo quando o src muda — para quem usa leitor de tela, a descrição nunca reflete qual tela está de fato sendo exibida.</w:t>
      </w:r>
    </w:p>
    <w:p>
      <w:pPr>
        <w:spacing w:after="80" w:before="240"/>
      </w:pPr>
      <w:r>
        <w:rPr>
          <w:b/>
          <w:bCs/>
          <w:color w:val="6B8E00"/>
        </w:rPr>
        <w:t xml:space="preserve">10. </w:t>
      </w:r>
      <w:r>
        <w:rPr>
          <w:b/>
          <w:bCs/>
        </w:rPr>
        <w:t xml:space="preserve">Sem indicação visual de "clique para ampliar"</w:t>
      </w:r>
    </w:p>
    <w:p>
      <w:pPr>
        <w:spacing w:after="120"/>
      </w:pPr>
      <w:r>
        <w:t xml:space="preserve">As imagens são clicáveis (zoom modal), mas o único sinal é cursor-pointer e uma leve opacidade no hover — um ícone de "expandir" sutil no hover aumentaria a taxa de descoberta dessa interação.</w:t>
      </w:r>
    </w:p>
    <w:p>
      <w:pPr>
        <w:spacing w:after="80" w:before="240"/>
      </w:pPr>
      <w:r>
        <w:rPr>
          <w:b/>
          <w:bCs/>
          <w:color w:val="6B8E00"/>
        </w:rPr>
        <w:t xml:space="preserve">11. </w:t>
      </w:r>
      <w:r>
        <w:rPr>
          <w:b/>
          <w:bCs/>
        </w:rPr>
        <w:t xml:space="preserve">Sem lazy loading nas imagens</w:t>
      </w:r>
    </w:p>
    <w:p>
      <w:pPr>
        <w:spacing w:after="120"/>
      </w:pPr>
      <w:r>
        <w:t xml:space="preserve">Cases com várias imagens carregam tudo de uma vez, sem loading="lazy" — impacta o tempo de carregamento inicial, especialmente em conexões móveis.</w:t>
      </w:r>
    </w:p>
    <w:p>
      <w:pPr>
        <w:pageBreakBefore/>
      </w:pPr>
      <w:r>
        <w:t xml:space="preserve"/>
      </w:r>
    </w:p>
    <w:p>
      <w:pPr>
        <w:pStyle w:val="Heading1"/>
        <w:pBdr>
          <w:bottom w:val="single" w:color="6B8E00" w:sz="12" w:space="4"/>
        </w:pBdr>
        <w:spacing w:after="200" w:before="480"/>
      </w:pPr>
      <w:r>
        <w:t xml:space="preserve">Relatório 2 — Versão EN</w:t>
      </w:r>
    </w:p>
    <w:p>
      <w:pPr>
        <w:spacing w:after="160"/>
      </w:pPr>
      <w:r>
        <w:rPr>
          <w:i/>
          <w:iCs/>
          <w:color w:val="666666"/>
        </w:rPr>
        <w:t xml:space="preserve">Estrutura e interação são idênticas à PT (os pontos 7–11 do relatório anterior valem igualmente aqui — não repetidos). Foco deste relatório é o que é específico da tradução/localização.</w:t>
      </w:r>
    </w:p>
    <w:p>
      <w:pPr>
        <w:pStyle w:val="Heading2"/>
        <w:spacing w:after="120" w:before="320"/>
      </w:pPr>
      <w:r>
        <w:rPr>
          <w:color w:val="6B8E00"/>
        </w:rPr>
        <w:t xml:space="preserve">Conteúdo</w:t>
      </w:r>
    </w:p>
    <w:p>
      <w:pPr>
        <w:spacing w:after="80" w:before="240"/>
      </w:pPr>
      <w:r>
        <w:rPr>
          <w:b/>
          <w:bCs/>
          <w:color w:val="6B8E00"/>
        </w:rPr>
        <w:t xml:space="preserve">1. </w:t>
      </w:r>
      <w:r>
        <w:rPr>
          <w:b/>
          <w:bCs/>
        </w:rPr>
        <w:t xml:space="preserve">"Portfolio Rebalancing" é um título ambíguo</w:t>
      </w:r>
    </w:p>
    <w:p>
      <w:pPr>
        <w:spacing w:after="120"/>
      </w:pPr>
      <w:r>
        <w:t xml:space="preserve">Esse é o achado mais importante do relatório em inglês. Em português, "Rebalanceamento de Carteira" não deixa dúvida. Em inglês, "Portfolio Rebalancing" — dentro do próprio portfólio de design — soa como se estivesse falando de reorganizar este portfólio, não uma carteira de investimentos. Sugiro renomear para algo como "Investment Portfolio Rebalancing" tanto no h1 do case (en/Case-Rebalanceamento-Carteira.html, linha 164) quanto no card da home, para eliminar a ambiguidade.</w:t>
      </w:r>
    </w:p>
    <w:p>
      <w:pPr>
        <w:spacing w:after="80" w:before="240"/>
      </w:pPr>
      <w:r>
        <w:rPr>
          <w:b/>
          <w:bCs/>
          <w:color w:val="6B8E00"/>
        </w:rPr>
        <w:t xml:space="preserve">2. </w:t>
      </w:r>
      <w:r>
        <w:rPr>
          <w:b/>
          <w:bCs/>
        </w:rPr>
        <w:t xml:space="preserve">"GMUD" nunca é explicado para quem não é do Brasil</w:t>
      </w:r>
    </w:p>
    <w:p>
      <w:pPr>
        <w:spacing w:after="120"/>
      </w:pPr>
      <w:r>
        <w:t xml:space="preserve">No case do Hub de Obras em inglês, o card de impacto mais forte do portfólio inteiro (-75%) tem o rótulo "GMUD Time" — um termo de jargão brasileiro de TI que só é mencionado uma vez no corpo do texto ("Change Management (GMUDs)") e nunca no próprio card. Quem entra direto na seção de impacto (comportamento comum de leitura em diagonal) vê uma sigla sem contexto e perde o impacto do número. Sugiro trocar o rótulo do card para algo como "Change Request Time" ou "Change Ticket (GMUD) Time".</w:t>
      </w:r>
    </w:p>
    <w:p>
      <w:pPr>
        <w:spacing w:after="80" w:before="240"/>
      </w:pPr>
      <w:r>
        <w:rPr>
          <w:b/>
          <w:bCs/>
          <w:color w:val="6B8E00"/>
        </w:rPr>
        <w:t xml:space="preserve">3. </w:t>
      </w:r>
      <w:r>
        <w:rPr>
          <w:b/>
          <w:bCs/>
        </w:rPr>
        <w:t xml:space="preserve">"FELs" também fica sem explicação</w:t>
      </w:r>
    </w:p>
    <w:p>
      <w:pPr>
        <w:spacing w:after="120"/>
      </w:pPr>
      <w:r>
        <w:t xml:space="preserve">"ship maintenance projects (FELs)" — a sigla aparece uma vez, sem explicação, e não ajuda em nada um leitor de fora do Brasil. Melhor remover a sigla e manter só "ship maintenance projects".</w:t>
      </w:r>
    </w:p>
    <w:p>
      <w:pPr>
        <w:spacing w:after="80" w:before="240"/>
      </w:pPr>
      <w:r>
        <w:rPr>
          <w:b/>
          <w:bCs/>
          <w:color w:val="6B8E00"/>
        </w:rPr>
        <w:t xml:space="preserve">4. </w:t>
      </w:r>
      <w:r>
        <w:rPr>
          <w:b/>
          <w:bCs/>
        </w:rPr>
        <w:t xml:space="preserve">Inconsistência na URL do case de Rebalanceamento</w:t>
      </w:r>
    </w:p>
    <w:p>
      <w:pPr>
        <w:spacing w:after="120"/>
      </w:pPr>
      <w:r>
        <w:t xml:space="preserve">Os outros 3 cards usam o padrão en-hub-obras, en-ds, en-guided-tour — mas o de Rebalanceamento aponta para portfolio-rebalancing, sem o prefixo en-. Provavelmente um esquecimento na configuração de slugs do WordPress, vale conferir.</w:t>
      </w:r>
    </w:p>
    <w:p>
      <w:pPr>
        <w:pStyle w:val="Heading2"/>
        <w:spacing w:after="120" w:before="320"/>
      </w:pPr>
      <w:r>
        <w:rPr>
          <w:color w:val="6B8E00"/>
        </w:rPr>
        <w:t xml:space="preserve">O que está bem traduzido</w:t>
      </w:r>
    </w:p>
    <w:p>
      <w:pPr>
        <w:spacing w:after="160"/>
      </w:pPr>
      <w:r>
        <w:t xml:space="preserve">Fora esses três pontos de conteúdo, a tradução está natural, em registro profissional adequado — não parece traduzida literalmente, o que é o principal risco nesse tipo de trabalho.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2026-07-24T16:58:07.410Z</dcterms:created>
  <dcterms:modified xsi:type="dcterms:W3CDTF">2026-07-24T16:58:07.411Z</dcterms:modified>
</cp:coreProperties>
</file>

<file path=docProps/custom.xml><?xml version="1.0" encoding="utf-8"?>
<Properties xmlns="http://schemas.openxmlformats.org/officeDocument/2006/custom-properties" xmlns:vt="http://schemas.openxmlformats.org/officeDocument/2006/docPropsVTypes"/>
</file>