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Montserrat SemiBold" w:cs="Montserrat SemiBold" w:ascii="Montserrat SemiBold" w:hAnsi="Montserrat SemiBold"/>
          <w:b/>
          <w:i w:val="false"/>
          <w:color w:val="003D79"/>
          <w:sz w:val="72"/>
        </w:rPr>
        <w:t>ÍNDICE DE PRESENTACIONES</w:t>
      </w:r>
    </w:p>
    <w:p>
      <w:pPr>
        <w:pStyle w:val="Normal"/>
        <w:spacing w:before="120" w:after="120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olor w:val="D59F0F"/>
          <w:sz w:val="18"/>
        </w:rPr>
        <w:t>────────────────────────────────────────────────</w:t>
      </w:r>
    </w:p>
    <w:p>
      <w:pPr>
        <w:pStyle w:val="Normal"/>
        <w:spacing w:before="0" w:after="120"/>
        <w:jc w:val="center"/>
        <w:rPr/>
      </w:pPr>
      <w:r>
        <w:rPr>
          <w:rFonts w:eastAsia="Montserrat" w:cs="Montserrat"/>
          <w:b w:val="false"/>
          <w:i/>
          <w:color w:val="D59F0F"/>
          <w:sz w:val="44"/>
        </w:rPr>
        <w:t>Colección integral por unidades</w:t>
      </w:r>
    </w:p>
    <w:p>
      <w:pPr>
        <w:pStyle w:val="Normal"/>
        <w:spacing w:before="0" w:after="120"/>
        <w:jc w:val="center"/>
        <w:rPr/>
      </w:pPr>
      <w:r>
        <w:rPr>
          <w:rFonts w:eastAsia="Montserrat" w:cs="Montserrat"/>
          <w:b w:val="false"/>
          <w:i/>
          <w:color w:val="D59F0F"/>
          <w:sz w:val="28"/>
        </w:rPr>
        <w:t>USO DOCENTE · Colección integral</w:t>
      </w:r>
    </w:p>
    <w:p>
      <w:pPr>
        <w:pStyle w:val="Normal"/>
        <w:spacing w:before="1200" w:after="0"/>
        <w:rPr/>
      </w:pPr>
      <w:r>
        <w:rPr/>
      </w:r>
    </w:p>
    <w:tbl>
      <w:tblPr>
        <w:tblW w:w="6800" w:type="dxa"/>
        <w:jc w:val="center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  <w:tblLook w:noHBand="0" w:lastColumn="0" w:firstColumn="1" w:lastRow="0" w:firstRow="1" w:noVBand="1" w:val="04a0"/>
      </w:tblPr>
      <w:tblGrid>
        <w:gridCol w:w="6800"/>
      </w:tblGrid>
      <w:tr>
        <w:trPr>
          <w:cantSplit/>
        </w:trPr>
        <w:tc>
          <w:tcPr>
            <w:tcW w:w="6800" w:type="dxa"/>
            <w:tcBorders>
              <w:top w:val="single" w:sz="12" w:space="0" w:color="D59F0F"/>
              <w:start w:val="single" w:sz="48" w:space="0" w:color="003D79"/>
              <w:bottom w:val="single" w:sz="12" w:space="0" w:color="D59F0F"/>
              <w:end w:val="single" w:sz="48" w:space="0" w:color="003D79"/>
            </w:tcBorders>
          </w:tcPr>
          <w:p>
            <w:pPr>
              <w:pStyle w:val="Normal"/>
              <w:spacing w:lineRule="auto" w:line="276" w:before="0" w:after="80"/>
              <w:jc w:val="center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32"/>
              </w:rPr>
              <w:t>Derecho Administrativo</w:t>
            </w:r>
          </w:p>
          <w:p>
            <w:pPr>
              <w:pStyle w:val="Normal"/>
              <w:spacing w:lineRule="auto" w:line="276" w:before="0" w:after="40"/>
              <w:jc w:val="center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22"/>
              </w:rPr>
              <w:t>Clave 1521  ·  Semestre 2027-1  ·  Grupo 2176</w:t>
            </w:r>
          </w:p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Montserrat" w:cs="Montserrat"/>
                <w:b w:val="false"/>
                <w:i/>
                <w:color w:val="1C2B3A"/>
                <w:sz w:val="22"/>
              </w:rPr>
              <w:t>Ciclo escolar 2027-1</w:t>
            </w:r>
          </w:p>
        </w:tc>
      </w:tr>
    </w:tbl>
    <w:p>
      <w:pPr>
        <w:pStyle w:val="Normal"/>
        <w:spacing w:before="360" w:after="4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Montserrat" w:cs="Montserrat"/>
          <w:b/>
          <w:i w:val="false"/>
          <w:color w:val="003D79"/>
          <w:sz w:val="18"/>
        </w:rPr>
        <w:t>UNIVERSIDAD NACIONAL AUTÓNOMA DE MÉXICO</w:t>
      </w:r>
    </w:p>
    <w:p>
      <w:pPr>
        <w:pStyle w:val="Normal"/>
        <w:spacing w:before="0" w:after="0"/>
        <w:jc w:val="center"/>
        <w:rPr/>
      </w:pPr>
      <w:r>
        <w:rPr>
          <w:rFonts w:eastAsia="Montserrat" w:cs="Montserrat"/>
          <w:b w:val="false"/>
          <w:i/>
          <w:color w:val="003D79"/>
          <w:sz w:val="18"/>
        </w:rPr>
        <w:t>Facultad de Derecho</w:t>
      </w:r>
    </w:p>
    <w:p>
      <w:pPr>
        <w:pStyle w:val="Normal"/>
        <w:spacing w:before="9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Montserrat" w:cs="Montserrat"/>
          <w:b/>
          <w:i w:val="false"/>
          <w:color w:val="003D79"/>
          <w:sz w:val="22"/>
        </w:rPr>
        <w:t xml:space="preserve">Profesor: </w:t>
      </w:r>
      <w:r>
        <w:rPr>
          <w:rFonts w:eastAsia="Montserrat" w:cs="Montserrat"/>
          <w:b w:val="false"/>
          <w:i w:val="false"/>
          <w:color w:val="003D79"/>
          <w:sz w:val="22"/>
        </w:rPr>
        <w:t>Mtro. Marco Antonio Escobar Cuapio</w:t>
      </w:r>
    </w:p>
    <w:p>
      <w:pPr>
        <w:pStyle w:val="Normal"/>
        <w:spacing w:before="0" w:after="0"/>
        <w:jc w:val="center"/>
        <w:rPr/>
      </w:pPr>
      <w:r>
        <w:rPr>
          <w:rFonts w:eastAsia="Montserrat" w:cs="Montserrat"/>
          <w:b w:val="false"/>
          <w:i/>
          <w:color w:val="003D79"/>
          <w:sz w:val="22"/>
        </w:rPr>
        <w:t>mescobarc@derecho.unam.mx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Montserrat" w:cs="Montserrat"/>
          <w:b/>
          <w:i w:val="false"/>
          <w:color w:val="003D79"/>
          <w:sz w:val="32"/>
        </w:rPr>
        <w:t>ÍNDICE DE CONTENIDO</w:t>
      </w:r>
    </w:p>
    <w:p>
      <w:pPr>
        <w:pStyle w:val="Normal"/>
        <w:spacing w:before="120" w:after="120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olor w:val="D59F0F"/>
          <w:sz w:val="18"/>
        </w:rPr>
        <w:t>────────────────────────────────────────────────</w:t>
      </w:r>
    </w:p>
    <w:p>
      <w:pPr>
        <w:pStyle w:val="Normal"/>
        <w:spacing w:before="120" w:after="0"/>
        <w:rPr/>
      </w:pPr>
      <w:r>
        <w:rPr/>
      </w:r>
    </w:p>
    <w:tbl>
      <w:tblPr>
        <w:tblW w:w="9354" w:type="dxa"/>
        <w:jc w:val="start"/>
        <w:tblInd w:w="140" w:type="dxa"/>
        <w:tblLayout w:type="fixed"/>
        <w:tblCellMar>
          <w:top w:w="80" w:type="dxa"/>
          <w:start w:w="200" w:type="dxa"/>
          <w:bottom w:w="80" w:type="dxa"/>
          <w:end w:w="120" w:type="dxa"/>
        </w:tblCellMar>
        <w:tblLook w:noHBand="0" w:lastColumn="0" w:firstColumn="1" w:lastRow="0" w:firstRow="1" w:noVBand="1" w:val="04a0"/>
      </w:tblPr>
      <w:tblGrid>
        <w:gridCol w:w="8503"/>
        <w:gridCol w:w="851"/>
      </w:tblGrid>
      <w:tr>
        <w:trPr>
          <w:tblHeader w:val="true"/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Introducción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Resumen ejecutivo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Presentaciones 1 a 5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Presentaciones 6 a 10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Fuentes y referencias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w="8503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Conclusión</w:t>
            </w:r>
          </w:p>
        </w:tc>
        <w:tc>
          <w:tcPr>
            <w:tcW w:w="851" w:type="dxa"/>
            <w:tcBorders>
              <w:start w:val="single" w:sz="48" w:space="0" w:color="D59F0F"/>
              <w:bottom w:val="dotted" w:sz="2" w:space="0" w:color="C0C8D4"/>
            </w:tcBorders>
          </w:tcPr>
          <w:p>
            <w:pPr>
              <w:pStyle w:val="Normal"/>
              <w:spacing w:before="0" w:after="120"/>
              <w:jc w:val="end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20"/>
              </w:rPr>
              <w:t>6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SECCIÓN I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Introducción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spacing w:lineRule="auto" w:line="317" w:before="0" w:after="80"/>
        <w:jc w:val="both"/>
        <w:rPr/>
      </w:pPr>
      <w:r>
        <w:rPr>
          <w:rFonts w:eastAsia="Montserrat" w:cs="Montserrat"/>
          <w:b w:val="false"/>
          <w:i w:val="false"/>
          <w:color w:val="1C2B3A"/>
          <w:sz w:val="22"/>
        </w:rPr>
        <w:t>Este índice reúne exclusivamente las diez presentaciones integrales de Derecho Administrativo 1521. Cada registro identifica el tema, la organización visual y la extensión de la unidad, e incorpora un acceso directo a la versión publicada para consulta en computadora, tableta o teléfono.</w:t>
      </w:r>
    </w:p>
    <w:p>
      <w:pPr>
        <w:pStyle w:val="Normal"/>
        <w:spacing w:lineRule="auto" w:line="317" w:before="0" w:after="80"/>
        <w:jc w:val="both"/>
        <w:rPr/>
      </w:pPr>
      <w:r>
        <w:rPr>
          <w:rFonts w:eastAsia="Montserrat" w:cs="Montserrat"/>
          <w:b w:val="false"/>
          <w:i w:val="false"/>
          <w:color w:val="1C2B3A"/>
          <w:sz w:val="22"/>
        </w:rPr>
        <w:t>Las presentaciones siguen el programa oficial de la asignatura y forman una secuencia continua: parten de los fundamentos del Derecho Administrativo, avanzan por la función pública, la organización y la legislación administrativa, y concluyen con transparencia, participación ciudadana y responsabilidad patrimonial del Estado.</w:t>
      </w:r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SECCIÓN II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Resumen ejecutivo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spacing w:lineRule="auto" w:line="317" w:before="0" w:after="80"/>
        <w:jc w:val="both"/>
        <w:rPr/>
      </w:pPr>
      <w:r>
        <w:rPr>
          <w:rFonts w:eastAsia="Montserrat" w:cs="Montserrat"/>
          <w:b w:val="false"/>
          <w:i w:val="false"/>
          <w:color w:val="1C2B3A"/>
          <w:sz w:val="22"/>
        </w:rPr>
        <w:t>La colección comprende 10 unidades y 586 láminas de contenido, además de una sección de referencias APA 7 en cada presentación. Las nueve presentaciones históricas proporcionadas para el curso fueron migradas íntegramente; la Unidad 2 se desarrolló conforme al programa oficial para completar la secuencia temática.</w:t>
      </w:r>
    </w:p>
    <w:p>
      <w:pPr>
        <w:pStyle w:val="Normal"/>
        <w:spacing w:lineRule="auto" w:line="317" w:before="0" w:after="80"/>
        <w:jc w:val="both"/>
        <w:rPr/>
      </w:pPr>
      <w:r>
        <w:rPr>
          <w:rFonts w:eastAsia="Montserrat" w:cs="Montserrat"/>
          <w:b w:val="false"/>
          <w:i w:val="false"/>
          <w:color w:val="1C2B3A"/>
          <w:sz w:val="22"/>
        </w:rPr>
        <w:t>Cada unidad conserva la identidad gráfica de la Universidad Nacional Autónoma de México y utiliza un motivo visual propio. En dispositivos móviles se activa una lectura lineal accesible; en pantallas amplias permanece disponible la navegación de presentación.</w:t>
      </w:r>
    </w:p>
    <w:tbl>
      <w:tblPr>
        <w:tblW w:w="9720" w:type="dxa"/>
        <w:jc w:val="start"/>
        <w:tblInd w:w="128" w:type="dxa"/>
        <w:tblLayout w:type="fixed"/>
        <w:tblCellMar>
          <w:top w:w="110" w:type="dxa"/>
          <w:start w:w="150" w:type="dxa"/>
          <w:bottom w:w="110" w:type="dxa"/>
          <w:end w:w="150" w:type="dxa"/>
        </w:tblCellMar>
        <w:tblLook w:noHBand="0" w:lastColumn="0" w:firstColumn="1" w:lastRow="0" w:firstRow="1" w:noVBand="1" w:val="04a0"/>
      </w:tblPr>
      <w:tblGrid>
        <w:gridCol w:w="3799"/>
        <w:gridCol w:w="5921"/>
      </w:tblGrid>
      <w:tr>
        <w:trPr>
          <w:tblHeader w:val="true"/>
          <w:cantSplit/>
        </w:trPr>
        <w:tc>
          <w:tcPr>
            <w:tcW w:w="3799" w:type="dxa"/>
            <w:tcBorders>
              <w:top w:val="single" w:sz="4" w:space="0" w:color="FFFFFF"/>
              <w:start w:val="single" w:sz="18" w:space="0" w:color="D59F0F"/>
              <w:bottom w:val="single" w:sz="4" w:space="0" w:color="FFFFFF"/>
              <w:end w:val="single" w:sz="4" w:space="0" w:color="FFFFFF"/>
            </w:tcBorders>
            <w:shd w:fill="003D7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FFFFFF"/>
                <w:sz w:val="20"/>
              </w:rPr>
              <w:t>Colección</w:t>
            </w:r>
          </w:p>
        </w:tc>
        <w:tc>
          <w:tcPr>
            <w:tcW w:w="592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BF3E4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 w:val="false"/>
                <w:i w:val="false"/>
                <w:color w:val="003D79"/>
                <w:sz w:val="20"/>
              </w:rPr>
              <w:t>10 presentaciones integrales</w:t>
            </w:r>
          </w:p>
        </w:tc>
      </w:tr>
      <w:tr>
        <w:trPr>
          <w:cantSplit/>
        </w:trPr>
        <w:tc>
          <w:tcPr>
            <w:tcW w:w="3799" w:type="dxa"/>
            <w:tcBorders>
              <w:top w:val="single" w:sz="4" w:space="0" w:color="FFFFFF"/>
              <w:start w:val="single" w:sz="18" w:space="0" w:color="D59F0F"/>
              <w:bottom w:val="single" w:sz="4" w:space="0" w:color="FFFFFF"/>
              <w:end w:val="single" w:sz="4" w:space="0" w:color="FFFFFF"/>
            </w:tcBorders>
            <w:shd w:fill="003D7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FFFFFF"/>
                <w:sz w:val="20"/>
              </w:rPr>
              <w:t>Extensión</w:t>
            </w:r>
          </w:p>
        </w:tc>
        <w:tc>
          <w:tcPr>
            <w:tcW w:w="592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BF3E4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 w:val="false"/>
                <w:i w:val="false"/>
                <w:color w:val="003D79"/>
                <w:sz w:val="20"/>
              </w:rPr>
              <w:t>586 láminas de contenido</w:t>
            </w:r>
          </w:p>
        </w:tc>
      </w:tr>
      <w:tr>
        <w:trPr>
          <w:cantSplit/>
        </w:trPr>
        <w:tc>
          <w:tcPr>
            <w:tcW w:w="3799" w:type="dxa"/>
            <w:tcBorders>
              <w:top w:val="single" w:sz="4" w:space="0" w:color="FFFFFF"/>
              <w:start w:val="single" w:sz="18" w:space="0" w:color="D59F0F"/>
              <w:bottom w:val="single" w:sz="4" w:space="0" w:color="FFFFFF"/>
              <w:end w:val="single" w:sz="4" w:space="0" w:color="FFFFFF"/>
            </w:tcBorders>
            <w:shd w:fill="003D7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FFFFFF"/>
                <w:sz w:val="20"/>
              </w:rPr>
              <w:t>Trazabilidad</w:t>
            </w:r>
          </w:p>
        </w:tc>
        <w:tc>
          <w:tcPr>
            <w:tcW w:w="592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BF3E4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 w:val="false"/>
                <w:i w:val="false"/>
                <w:color w:val="003D79"/>
                <w:sz w:val="20"/>
              </w:rPr>
              <w:t>Referencias APA 7 y vínculos a fuentes en cada unidad</w:t>
            </w:r>
          </w:p>
        </w:tc>
      </w:tr>
      <w:tr>
        <w:trPr>
          <w:cantSplit/>
        </w:trPr>
        <w:tc>
          <w:tcPr>
            <w:tcW w:w="3799" w:type="dxa"/>
            <w:tcBorders>
              <w:top w:val="single" w:sz="4" w:space="0" w:color="FFFFFF"/>
              <w:start w:val="single" w:sz="18" w:space="0" w:color="D59F0F"/>
              <w:bottom w:val="single" w:sz="4" w:space="0" w:color="FFFFFF"/>
              <w:end w:val="single" w:sz="4" w:space="0" w:color="FFFFFF"/>
            </w:tcBorders>
            <w:shd w:fill="003D7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/>
                <w:i w:val="false"/>
                <w:color w:val="FFFFFF"/>
                <w:sz w:val="20"/>
              </w:rPr>
              <w:t>Consulta</w:t>
            </w:r>
          </w:p>
        </w:tc>
        <w:tc>
          <w:tcPr>
            <w:tcW w:w="592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BF3E4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rFonts w:eastAsia="Montserrat" w:cs="Montserrat"/>
                <w:b w:val="false"/>
                <w:i w:val="false"/>
                <w:color w:val="003D79"/>
                <w:sz w:val="20"/>
              </w:rPr>
              <w:t>Presentación panorámica y lectura lineal accesible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BLOQUE I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Presentaciones 1 a 5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01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El Derecho Administrativo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Archivo histórico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28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Sitúa antecedentes, fuentes y principios en su contexto histórico.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2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02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La Función Pública del Estado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Atlas conceptual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31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Relaciona las funciones públicas, sus sujetos y los niveles de gobierno.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3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03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El Poder Ejecutivo y la Función Administrativa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Ejes de poder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42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Distingue poderes, órganos y ejercicio de la función administrativa.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4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04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La Administración Pública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Ruta administrativa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126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Recorre organización, procedimientos, contratación y control administrativo.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5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05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Legislación Administrativa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Capas normativas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44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Ordena las formas y fuentes de la legislación administrativa.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6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BLOQUE II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Presentaciones 6 a 10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06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Ética pública, fiscalización y responsabilidades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Anillos de integridad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136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Integra ética, fiscalización, responsabilidades y prevención institucional.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7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07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Patrimonio público en México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Plano patrimonial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31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Reconoce bienes públicos, regímenes jurídicos y formas de adquisición.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8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08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Información pública y protección de datos personales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Flujo de información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27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Conecta transparencia, acceso a la información y protección de datos.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9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09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Participación ciudadana en la administración y las políticas públicas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Red cívica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40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Ubica actores, mecanismos y ámbitos de participación ciudadana.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10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tbl>
      <w:tblPr>
        <w:tblW w:w="9720" w:type="dxa"/>
        <w:jc w:val="start"/>
        <w:tblInd w:w="12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720"/>
      </w:tblGrid>
      <w:tr>
        <w:trPr>
          <w:cantSplit/>
        </w:trPr>
        <w:tc>
          <w:tcPr>
            <w:tcW w:w="9720" w:type="dxa"/>
            <w:tcBorders>
              <w:top w:val="single" w:sz="4" w:space="0" w:color="FBF3E4"/>
              <w:start w:val="single" w:sz="48" w:space="0" w:color="D59F0F"/>
              <w:bottom w:val="single" w:sz="4" w:space="0" w:color="FBF3E4"/>
              <w:end w:val="single" w:sz="4" w:space="0" w:color="FBF3E4"/>
            </w:tcBorders>
            <w:shd w:fill="FBF3E4" w:val="clear"/>
            <w:vAlign w:val="center"/>
          </w:tcPr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UNIDAD 10  ·  </w:t>
            </w:r>
            <w:r>
              <w:rPr>
                <w:rFonts w:eastAsia="Montserrat" w:cs="Montserrat"/>
                <w:b/>
                <w:i w:val="false"/>
                <w:color w:val="003D79"/>
                <w:sz w:val="21"/>
              </w:rPr>
              <w:t>Responsabilidad patrimonial del Estado</w:t>
            </w:r>
          </w:p>
          <w:p>
            <w:pPr>
              <w:pStyle w:val="Normal"/>
              <w:spacing w:lineRule="auto" w:line="276" w:before="0" w:after="45"/>
              <w:rPr/>
            </w:pPr>
            <w:r>
              <w:rPr>
                <w:rFonts w:eastAsia="Montserrat" w:cs="Montserrat"/>
                <w:b/>
                <w:i w:val="false"/>
                <w:color w:val="003D79"/>
                <w:sz w:val="18"/>
              </w:rPr>
              <w:t xml:space="preserve">Organización visual: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Cadena de reparación</w:t>
            </w:r>
            <w:r>
              <w:rPr>
                <w:rFonts w:eastAsia="Montserrat" w:cs="Montserrat"/>
                <w:b/>
                <w:i w:val="false"/>
                <w:color w:val="D59F0F"/>
                <w:sz w:val="18"/>
              </w:rPr>
              <w:t xml:space="preserve">  ·  </w:t>
            </w:r>
            <w:r>
              <w:rPr>
                <w:rFonts w:eastAsia="Montserrat" w:cs="Montserrat"/>
                <w:b w:val="false"/>
                <w:i w:val="false"/>
                <w:color w:val="1C2B3A"/>
                <w:sz w:val="18"/>
              </w:rPr>
              <w:t>81 láminas</w:t>
            </w:r>
          </w:p>
          <w:p>
            <w:pPr>
              <w:pStyle w:val="Normal"/>
              <w:spacing w:lineRule="auto" w:line="288" w:before="0" w:after="45"/>
              <w:rPr/>
            </w:pPr>
            <w:r>
              <w:rPr>
                <w:rFonts w:eastAsia="Montserrat" w:cs="Montserrat"/>
                <w:b w:val="false"/>
                <w:i w:val="false"/>
                <w:color w:val="1C2B3A"/>
                <w:sz w:val="19"/>
              </w:rPr>
              <w:t>Relaciona actividad administrativa, daño, nexo causal e indemnización.</w:t>
            </w:r>
          </w:p>
          <w:p>
            <w:pPr>
              <w:pStyle w:val="Normal"/>
              <w:spacing w:lineRule="auto" w:line="276" w:before="0" w:after="0"/>
              <w:jc w:val="start"/>
              <w:rPr/>
            </w:pPr>
            <w:hyperlink r:id="rId11">
              <w:r>
                <w:rPr>
                  <w:rStyle w:val="Style"/>
                  <w:rFonts w:eastAsia="Montserrat" w:cs="Montserrat"/>
                  <w:b w:val="false"/>
                  <w:i w:val="false"/>
                  <w:color w:val="003D79"/>
                  <w:sz w:val="18"/>
                  <w:u w:val="single"/>
                </w:rPr>
                <w:t>Abrir presentación integral en línea</w:t>
              </w:r>
            </w:hyperlink>
          </w:p>
        </w:tc>
      </w:tr>
    </w:tbl>
    <w:p>
      <w:pPr>
        <w:pStyle w:val="Normal"/>
        <w:spacing w:lineRule="auto" w:line="48" w:before="0" w:after="0"/>
        <w:rPr/>
      </w:pPr>
      <w:r>
        <w:rPr/>
      </w:r>
      <w:r>
        <w:br w:type="page"/>
      </w:r>
    </w:p>
    <w:p>
      <w:pPr>
        <w:pStyle w:val="Normal"/>
        <w:spacing w:lineRule="auto" w:line="24" w:before="0" w:after="0"/>
        <w:rPr/>
      </w:pPr>
      <w:r>
        <w:rPr/>
      </w:r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SECCIÓN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Fuentes y referencias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spacing w:before="0" w:after="120"/>
        <w:ind w:hanging="360" w:start="360"/>
        <w:rPr/>
      </w:pPr>
      <w:r>
        <w:rPr>
          <w:rFonts w:eastAsia="Montserrat" w:cs="Montserrat"/>
          <w:b w:val="false"/>
          <w:i w:val="false"/>
          <w:color w:val="1C2B3A"/>
          <w:sz w:val="20"/>
        </w:rPr>
        <w:t xml:space="preserve">Escobar Cuapio, M. A. (2026). Presentaciones integrales de Derecho Administrativo 1521 [Colección de presentaciones]. Facultad de Derecho, Universidad Nacional Autónoma de México. </w:t>
      </w:r>
      <w:hyperlink r:id="rId12">
        <w:r>
          <w:rPr>
            <w:rStyle w:val="Style"/>
            <w:rFonts w:eastAsia="Montserrat" w:cs="Montserrat"/>
            <w:b w:val="false"/>
            <w:i w:val="false"/>
            <w:color w:val="003D79"/>
            <w:sz w:val="20"/>
            <w:u w:val="single"/>
          </w:rPr>
          <w:t>https://marcoescobarcuapio.github.io/derecho-administrativo-1521/</w:t>
        </w:r>
      </w:hyperlink>
    </w:p>
    <w:p>
      <w:pPr>
        <w:pStyle w:val="Normal"/>
        <w:spacing w:before="0" w:after="120"/>
        <w:ind w:hanging="360" w:start="360"/>
        <w:rPr/>
      </w:pPr>
      <w:r>
        <w:rPr>
          <w:rFonts w:eastAsia="Montserrat" w:cs="Montserrat"/>
          <w:b w:val="false"/>
          <w:i w:val="false"/>
          <w:color w:val="1C2B3A"/>
          <w:sz w:val="20"/>
        </w:rPr>
        <w:t xml:space="preserve">Universidad Nacional Autónoma de México, Facultad de Derecho. (s. f.). Plan de estudios de la Licenciatura en Derecho: Derecho Administrativo, clave 1521, Plan 2117, sistema escolarizado (pp. 448-466). </w:t>
      </w:r>
      <w:hyperlink r:id="rId13">
        <w:r>
          <w:rPr>
            <w:rStyle w:val="Style"/>
            <w:rFonts w:eastAsia="Montserrat" w:cs="Montserrat"/>
            <w:b w:val="false"/>
            <w:i w:val="false"/>
            <w:color w:val="003D79"/>
            <w:sz w:val="20"/>
            <w:u w:val="single"/>
          </w:rPr>
          <w:t>https://www.derecho.unam.mx/escolares/archivos/TOMOII-Escolarizado-220221.pdf</w:t>
        </w:r>
      </w:hyperlink>
    </w:p>
    <w:tbl>
      <w:tblPr>
        <w:tblW w:w="9638" w:type="dxa"/>
        <w:jc w:val="start"/>
        <w:tblInd w:w="14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space="0" w:color="003D79"/>
              <w:start w:val="single" w:sz="48" w:space="0" w:color="D59F0F"/>
              <w:bottom w:val="single" w:sz="8" w:space="0" w:color="003D79"/>
              <w:end w:val="single" w:sz="8" w:space="0" w:color="003D79"/>
            </w:tcBorders>
            <w:shd w:fill="E8EF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17"/>
              </w:rPr>
              <w:t xml:space="preserve">CIERRE  —  </w:t>
            </w:r>
            <w:r>
              <w:rPr>
                <w:rFonts w:eastAsia="Montserrat" w:cs="Montserrat"/>
                <w:b/>
                <w:i w:val="false"/>
                <w:color w:val="003D79"/>
                <w:sz w:val="19"/>
              </w:rPr>
              <w:t>Conclusión</w:t>
            </w:r>
          </w:p>
        </w:tc>
      </w:tr>
    </w:tbl>
    <w:p>
      <w:pPr>
        <w:pStyle w:val="Normal"/>
        <w:spacing w:lineRule="auto" w:line="48" w:before="0" w:after="0"/>
        <w:rPr/>
      </w:pPr>
      <w:r>
        <w:rPr/>
      </w:r>
    </w:p>
    <w:p>
      <w:pPr>
        <w:pStyle w:val="Normal"/>
        <w:spacing w:lineRule="auto" w:line="317" w:before="0" w:after="80"/>
        <w:jc w:val="both"/>
        <w:rPr/>
      </w:pPr>
      <w:r>
        <w:rPr>
          <w:rFonts w:eastAsia="Montserrat" w:cs="Montserrat"/>
          <w:b w:val="false"/>
          <w:i w:val="false"/>
          <w:color w:val="1C2B3A"/>
          <w:sz w:val="22"/>
        </w:rPr>
        <w:t>Este índice ofrece una puerta de entrada única a la colección de presentaciones. La secuencia puede recorrerse de manera completa o consultarse por unidad; cada presentación conserva sus fuentes APA 7 y los vínculos necesarios para volver a los documentos institucionales que sustentan el contenido.</w:t>
      </w:r>
      <w:r>
        <w:br w:type="page"/>
      </w:r>
    </w:p>
    <w:p>
      <w:pPr>
        <w:pStyle w:val="Normal"/>
        <w:spacing w:lineRule="auto" w:line="24"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638" w:type="dxa"/>
        <w:jc w:val="start"/>
        <w:tblInd w:w="29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  <w:tblLook w:noHBand="0" w:lastColumn="0" w:firstColumn="1" w:lastRow="0" w:firstRow="1" w:noVBand="1" w:val="04a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8" w:space="0" w:color="003D79"/>
              <w:start w:val="single" w:sz="8" w:space="0" w:color="003D79"/>
              <w:bottom w:val="single" w:sz="48" w:space="0" w:color="003D79"/>
              <w:end w:val="single" w:sz="8" w:space="0" w:color="003D79"/>
            </w:tcBorders>
            <w:shd w:fill="003D79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Montserrat SemiBold" w:cs="Montserrat SemiBold" w:ascii="Montserrat SemiBold" w:hAnsi="Montserrat SemiBold"/>
                <w:b/>
                <w:i w:val="false"/>
                <w:color w:val="FFFFFF"/>
                <w:sz w:val="26"/>
              </w:rPr>
              <w:t>ÍNDICE DE PRESENTACIONES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Montserrat" w:cs="Montserrat"/>
                <w:b/>
                <w:i w:val="false"/>
                <w:color w:val="D59F0F"/>
                <w:sz w:val="20"/>
              </w:rPr>
              <w:t>Colección integral por unidades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ontserrat" w:cs="Montserrat"/>
                <w:b w:val="false"/>
                <w:i w:val="false"/>
                <w:color w:val="C8D8EE"/>
                <w:sz w:val="18"/>
              </w:rPr>
              <w:t>Derecho Administrativo  ·  Clave 1521  ·  Grupo 2176  ·  Ciclo 2027-1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ontserrat" w:cs="Montserrat"/>
                <w:b w:val="false"/>
                <w:i w:val="false"/>
                <w:color w:val="C8D8EE"/>
                <w:sz w:val="18"/>
              </w:rPr>
              <w:t>Mtro. Marco Antonio Escobar Cuapio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Montserrat" w:cs="Montserrat"/>
                <w:b w:val="false"/>
                <w:i/>
                <w:color w:val="C8D8EE"/>
                <w:sz w:val="18"/>
              </w:rPr>
              <w:t>mescobarc@derecho.unam.mx</w:t>
            </w:r>
          </w:p>
          <w:p>
            <w:pPr>
              <w:pStyle w:val="Normal"/>
              <w:pBdr>
                <w:bottom w:val="single" w:sz="8" w:space="1" w:color="C8D8EE"/>
              </w:pBdr>
              <w:spacing w:before="0" w:after="80"/>
              <w:jc w:val="center"/>
              <w:rPr/>
            </w:pPr>
            <w:r>
              <w:rPr>
                <w:rFonts w:eastAsia="Montserrat" w:cs="Montserrat"/>
                <w:b w:val="false"/>
                <w:i/>
                <w:color w:val="C8D8EE"/>
                <w:sz w:val="18"/>
              </w:rPr>
              <w:t>Fuentes y referencias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Montserrat" w:cs="Montserrat"/>
                <w:b w:val="false"/>
                <w:i w:val="false"/>
                <w:color w:val="C8D8EE"/>
                <w:sz w:val="17"/>
              </w:rPr>
              <w:t>Colección publicada con referencias APA 7 y acceso a fuentes institucionales</w:t>
            </w:r>
          </w:p>
          <w:p>
            <w:pPr>
              <w:pStyle w:val="Normal"/>
              <w:spacing w:before="600" w:after="0"/>
              <w:rPr/>
            </w:pPr>
            <w:r>
              <w:rPr/>
            </w:r>
          </w:p>
        </w:tc>
      </w:tr>
    </w:tbl>
    <w:sectPr>
      <w:footerReference w:type="even" r:id="rId14"/>
      <w:footerReference w:type="default" r:id="rId15"/>
      <w:footerReference w:type="first" r:id="rId16"/>
      <w:type w:val="nextPage"/>
      <w:pgSz w:w="12240" w:h="15840"/>
      <w:pgMar w:left="1259" w:right="1259" w:gutter="0" w:header="0" w:top="1077" w:footer="709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Montserrat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tserrat SemiBold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0C8D4"/>
      </w:pBdr>
      <w:spacing w:before="0" w:after="120"/>
      <w:jc w:val="center"/>
      <w:rPr/>
    </w:pPr>
    <w:r>
      <w:rPr>
        <w:rFonts w:eastAsia="Montserrat" w:cs="Montserrat"/>
        <w:b w:val="false"/>
        <w:i w:val="false"/>
        <w:color w:val="5A6A7A"/>
        <w:sz w:val="17"/>
      </w:rPr>
      <w:t xml:space="preserve">Índice de presentaciones  ·  DA 1521  ·  Derecho Administrativo  |  p.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0C8D4"/>
      </w:pBdr>
      <w:spacing w:before="0" w:after="120"/>
      <w:jc w:val="center"/>
      <w:rPr/>
    </w:pPr>
    <w:r>
      <w:rPr>
        <w:rFonts w:eastAsia="Montserrat" w:cs="Montserrat"/>
        <w:b w:val="false"/>
        <w:i w:val="false"/>
        <w:color w:val="5A6A7A"/>
        <w:sz w:val="17"/>
      </w:rPr>
      <w:t xml:space="preserve">Índice de presentaciones  ·  DA 1521  ·  Derecho Administrativo  |  p.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Montserrat" w:hAnsi="Montserrat" w:eastAsia="Montserrat" w:cs="Montserrat"/>
      <w:b w:val="false"/>
      <w:color w:val="1C2B3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3D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3D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3D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76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3D79"/>
      <w:spacing w:val="5"/>
      <w:kern w:val="2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Rule="auto" w:line="276" w:before="0" w:after="12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D59F0F"/>
      <w:spacing w:val="15"/>
      <w:sz w:val="3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coescobarcuapio.github.io/derecho-administrativo-1521/integral/unidad_01/" TargetMode="External"/><Relationship Id="rId3" Type="http://schemas.openxmlformats.org/officeDocument/2006/relationships/hyperlink" Target="https://marcoescobarcuapio.github.io/derecho-administrativo-1521/integral/unidad_02/" TargetMode="External"/><Relationship Id="rId4" Type="http://schemas.openxmlformats.org/officeDocument/2006/relationships/hyperlink" Target="https://marcoescobarcuapio.github.io/derecho-administrativo-1521/integral/unidad_03/" TargetMode="External"/><Relationship Id="rId5" Type="http://schemas.openxmlformats.org/officeDocument/2006/relationships/hyperlink" Target="https://marcoescobarcuapio.github.io/derecho-administrativo-1521/integral/unidad_04/" TargetMode="External"/><Relationship Id="rId6" Type="http://schemas.openxmlformats.org/officeDocument/2006/relationships/hyperlink" Target="https://marcoescobarcuapio.github.io/derecho-administrativo-1521/integral/unidad_05/" TargetMode="External"/><Relationship Id="rId7" Type="http://schemas.openxmlformats.org/officeDocument/2006/relationships/hyperlink" Target="https://marcoescobarcuapio.github.io/derecho-administrativo-1521/integral/unidad_06/" TargetMode="External"/><Relationship Id="rId8" Type="http://schemas.openxmlformats.org/officeDocument/2006/relationships/hyperlink" Target="https://marcoescobarcuapio.github.io/derecho-administrativo-1521/integral/unidad_07/" TargetMode="External"/><Relationship Id="rId9" Type="http://schemas.openxmlformats.org/officeDocument/2006/relationships/hyperlink" Target="https://marcoescobarcuapio.github.io/derecho-administrativo-1521/integral/unidad_08/" TargetMode="External"/><Relationship Id="rId10" Type="http://schemas.openxmlformats.org/officeDocument/2006/relationships/hyperlink" Target="https://marcoescobarcuapio.github.io/derecho-administrativo-1521/integral/unidad_09/" TargetMode="External"/><Relationship Id="rId11" Type="http://schemas.openxmlformats.org/officeDocument/2006/relationships/hyperlink" Target="https://marcoescobarcuapio.github.io/derecho-administrativo-1521/integral/unidad_10/" TargetMode="External"/><Relationship Id="rId12" Type="http://schemas.openxmlformats.org/officeDocument/2006/relationships/hyperlink" Target="https://marcoescobarcuapio.github.io/derecho-administrativo-1521/" TargetMode="External"/><Relationship Id="rId13" Type="http://schemas.openxmlformats.org/officeDocument/2006/relationships/hyperlink" Target="https://www.derecho.unam.mx/escolares/archivos/TOMOII-Escolarizado-220221.pdf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Marco Antonio Escobar Cuapio</dc:creator>
  <dc:description/>
  <cp:keywords>Derecho Administrativo 1521 UNAM</cp:keywords>
  <dc:language>es-MX</dc:language>
  <cp:lastModifiedBy>Marco Antonio Escobar Cuapio</cp:lastModifiedBy>
  <dcterms:modified xsi:type="dcterms:W3CDTF">2013-12-23T23:15:00Z</dcterms:modified>
  <cp:revision>1</cp:revision>
  <dc:subject>Derecho Administrativo 1521 · Grupo 2176 · Semestre 2027-1</dc:subject>
  <dc:title>ÍNDICE DE PRESENTACIONES · Derecho Administrativo 1521 · 2027-1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