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G4OS-DOC-004</w:t>
      </w:r>
    </w:p>
    <w:p>
      <w:pPr>
        <w:jc w:val="center"/>
      </w:pPr>
      <w:r>
        <w:rPr>
          <w:b/>
        </w:rPr>
        <w:t>REGRAS DE NEGÓCIO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as regras de negócio que deverão ser obrigatoriamente respeitadas durante a implementação do sistema.</w:t>
      </w:r>
    </w:p>
    <w:p>
      <w:pPr>
        <w:pStyle w:val="Heading1"/>
      </w:pPr>
      <w:r>
        <w:t>2.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Assunto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RN-001</w:t>
            </w:r>
          </w:p>
        </w:tc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Somente usuários ativos poderão acessar o sistema.</w:t>
            </w:r>
          </w:p>
        </w:tc>
      </w:tr>
      <w:tr>
        <w:tc>
          <w:tcPr>
            <w:tcW w:type="dxa" w:w="2880"/>
          </w:tcPr>
          <w:p>
            <w:r>
              <w:t>RN-002</w:t>
            </w:r>
          </w:p>
        </w:tc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Todo usuário deverá estar vinculado a exatamente uma empresa.</w:t>
            </w:r>
          </w:p>
        </w:tc>
      </w:tr>
      <w:tr>
        <w:tc>
          <w:tcPr>
            <w:tcW w:type="dxa" w:w="2880"/>
          </w:tcPr>
          <w:p>
            <w:r>
              <w:t>RN-003</w:t>
            </w:r>
          </w:p>
        </w:tc>
        <w:tc>
          <w:tcPr>
            <w:tcW w:type="dxa" w:w="2880"/>
          </w:tcPr>
          <w:p>
            <w:r>
              <w:t>Isolamento</w:t>
            </w:r>
          </w:p>
        </w:tc>
        <w:tc>
          <w:tcPr>
            <w:tcW w:type="dxa" w:w="2880"/>
          </w:tcPr>
          <w:p>
            <w:r>
              <w:t>Usuários não poderão visualizar dados de outras empresas.</w:t>
            </w:r>
          </w:p>
        </w:tc>
      </w:tr>
      <w:tr>
        <w:tc>
          <w:tcPr>
            <w:tcW w:type="dxa" w:w="2880"/>
          </w:tcPr>
          <w:p>
            <w:r>
              <w:t>RN-004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Todo cliente deverá pertencer a uma empresa.</w:t>
            </w:r>
          </w:p>
        </w:tc>
      </w:tr>
      <w:tr>
        <w:tc>
          <w:tcPr>
            <w:tcW w:type="dxa" w:w="2880"/>
          </w:tcPr>
          <w:p>
            <w:r>
              <w:t>RN-005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Todo item deverá estar vinculado a um cliente.</w:t>
            </w:r>
          </w:p>
        </w:tc>
      </w:tr>
      <w:tr>
        <w:tc>
          <w:tcPr>
            <w:tcW w:type="dxa" w:w="2880"/>
          </w:tcPr>
          <w:p>
            <w:r>
              <w:t>RN-006</w:t>
            </w:r>
          </w:p>
        </w:tc>
        <w:tc>
          <w:tcPr>
            <w:tcW w:type="dxa" w:w="2880"/>
          </w:tcPr>
          <w:p>
            <w:r>
              <w:t>Ordem de Serviço</w:t>
            </w:r>
          </w:p>
        </w:tc>
        <w:tc>
          <w:tcPr>
            <w:tcW w:type="dxa" w:w="2880"/>
          </w:tcPr>
          <w:p>
            <w:r>
              <w:t>Toda ordem de serviço deverá possuir cliente e item associados.</w:t>
            </w:r>
          </w:p>
        </w:tc>
      </w:tr>
      <w:tr>
        <w:tc>
          <w:tcPr>
            <w:tcW w:type="dxa" w:w="2880"/>
          </w:tcPr>
          <w:p>
            <w:r>
              <w:t>RN-007</w:t>
            </w:r>
          </w:p>
        </w:tc>
        <w:tc>
          <w:tcPr>
            <w:tcW w:type="dxa" w:w="2880"/>
          </w:tcPr>
          <w:p>
            <w:r>
              <w:t>Status da OS</w:t>
            </w:r>
          </w:p>
        </w:tc>
        <w:tc>
          <w:tcPr>
            <w:tcW w:type="dxa" w:w="2880"/>
          </w:tcPr>
          <w:p>
            <w:r>
              <w:t>A OS deverá possuir status controlado durante todo o ciclo de vida.</w:t>
            </w:r>
          </w:p>
        </w:tc>
      </w:tr>
      <w:tr>
        <w:tc>
          <w:tcPr>
            <w:tcW w:type="dxa" w:w="2880"/>
          </w:tcPr>
          <w:p>
            <w:r>
              <w:t>RN-008</w:t>
            </w:r>
          </w:p>
        </w:tc>
        <w:tc>
          <w:tcPr>
            <w:tcW w:type="dxa" w:w="2880"/>
          </w:tcPr>
          <w:p>
            <w:r>
              <w:t>Vistoria</w:t>
            </w:r>
          </w:p>
        </w:tc>
        <w:tc>
          <w:tcPr>
            <w:tcW w:type="dxa" w:w="2880"/>
          </w:tcPr>
          <w:p>
            <w:r>
              <w:t>Cada vistoria deverá estar vinculada a uma única ordem de serviço.</w:t>
            </w:r>
          </w:p>
        </w:tc>
      </w:tr>
      <w:tr>
        <w:tc>
          <w:tcPr>
            <w:tcW w:type="dxa" w:w="2880"/>
          </w:tcPr>
          <w:p>
            <w:r>
              <w:t>RN-009</w:t>
            </w:r>
          </w:p>
        </w:tc>
        <w:tc>
          <w:tcPr>
            <w:tcW w:type="dxa" w:w="2880"/>
          </w:tcPr>
          <w:p>
            <w:r>
              <w:t>Fotos</w:t>
            </w:r>
          </w:p>
        </w:tc>
        <w:tc>
          <w:tcPr>
            <w:tcW w:type="dxa" w:w="2880"/>
          </w:tcPr>
          <w:p>
            <w:r>
              <w:t>Fotos deverão permanecer vinculadas ao registro de origem.</w:t>
            </w:r>
          </w:p>
        </w:tc>
      </w:tr>
      <w:tr>
        <w:tc>
          <w:tcPr>
            <w:tcW w:type="dxa" w:w="2880"/>
          </w:tcPr>
          <w:p>
            <w:r>
              <w:t>RN-010</w:t>
            </w:r>
          </w:p>
        </w:tc>
        <w:tc>
          <w:tcPr>
            <w:tcW w:type="dxa" w:w="2880"/>
          </w:tcPr>
          <w:p>
            <w:r>
              <w:t>Assinatura</w:t>
            </w:r>
          </w:p>
        </w:tc>
        <w:tc>
          <w:tcPr>
            <w:tcW w:type="dxa" w:w="2880"/>
          </w:tcPr>
          <w:p>
            <w:r>
              <w:t>A assinatura digital somente poderá ser registrada em ordem de serviço existente.</w:t>
            </w:r>
          </w:p>
        </w:tc>
      </w:tr>
      <w:tr>
        <w:tc>
          <w:tcPr>
            <w:tcW w:type="dxa" w:w="2880"/>
          </w:tcPr>
          <w:p>
            <w:r>
              <w:t>RN-011</w:t>
            </w:r>
          </w:p>
        </w:tc>
        <w:tc>
          <w:tcPr>
            <w:tcW w:type="dxa" w:w="2880"/>
          </w:tcPr>
          <w:p>
            <w:r>
              <w:t>Sincronização</w:t>
            </w:r>
          </w:p>
        </w:tc>
        <w:tc>
          <w:tcPr>
            <w:tcW w:type="dxa" w:w="2880"/>
          </w:tcPr>
          <w:p>
            <w:r>
              <w:t>Registros sincronizados não poderão ser reenviados sem alteração.</w:t>
            </w:r>
          </w:p>
        </w:tc>
      </w:tr>
      <w:tr>
        <w:tc>
          <w:tcPr>
            <w:tcW w:type="dxa" w:w="2880"/>
          </w:tcPr>
          <w:p>
            <w:r>
              <w:t>RN-012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Toda operação deverá ser persistida localmente antes da sincronização.</w:t>
            </w:r>
          </w:p>
        </w:tc>
      </w:tr>
      <w:tr>
        <w:tc>
          <w:tcPr>
            <w:tcW w:type="dxa" w:w="2880"/>
          </w:tcPr>
          <w:p>
            <w:r>
              <w:t>RN-013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Todos os registros operacionais utilizarão UUID como identificador global.</w:t>
            </w:r>
          </w:p>
        </w:tc>
      </w:tr>
      <w:tr>
        <w:tc>
          <w:tcPr>
            <w:tcW w:type="dxa" w:w="2880"/>
          </w:tcPr>
          <w:p>
            <w:r>
              <w:t>RN-014</w:t>
            </w:r>
          </w:p>
        </w:tc>
        <w:tc>
          <w:tcPr>
            <w:tcW w:type="dxa" w:w="2880"/>
          </w:tcPr>
          <w:p>
            <w:r>
              <w:t>Exclusão</w:t>
            </w:r>
          </w:p>
        </w:tc>
        <w:tc>
          <w:tcPr>
            <w:tcW w:type="dxa" w:w="2880"/>
          </w:tcPr>
          <w:p>
            <w:r>
              <w:t>A exclusão será lógica, preservando histórico e auditoria.</w:t>
            </w:r>
          </w:p>
        </w:tc>
      </w:tr>
      <w:tr>
        <w:tc>
          <w:tcPr>
            <w:tcW w:type="dxa" w:w="2880"/>
          </w:tcPr>
          <w:p>
            <w:r>
              <w:t>RN-015</w:t>
            </w:r>
          </w:p>
        </w:tc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Operações críticas deverão gerar registro de auditoria.</w:t>
            </w:r>
          </w:p>
        </w:tc>
      </w:tr>
      <w:tr>
        <w:tc>
          <w:tcPr>
            <w:tcW w:type="dxa" w:w="2880"/>
          </w:tcPr>
          <w:p>
            <w:r>
              <w:t>RN-016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A empresa será identificada pela autenticação da API e não por parâmetros enviados pelo aplicativo.</w:t>
            </w:r>
          </w:p>
        </w:tc>
      </w:tr>
      <w:tr>
        <w:tc>
          <w:tcPr>
            <w:tcW w:type="dxa" w:w="2880"/>
          </w:tcPr>
          <w:p>
            <w:r>
              <w:t>RN-017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O PDF deverá representar fielmente os dados registrados na ordem de serviço.</w:t>
            </w:r>
          </w:p>
        </w:tc>
      </w:tr>
      <w:tr>
        <w:tc>
          <w:tcPr>
            <w:tcW w:type="dxa" w:w="2880"/>
          </w:tcPr>
          <w:p>
            <w:r>
              <w:t>RN-018</w:t>
            </w:r>
          </w:p>
        </w:tc>
        <w:tc>
          <w:tcPr>
            <w:tcW w:type="dxa" w:w="2880"/>
          </w:tcPr>
          <w:p>
            <w:r>
              <w:t>Permissões</w:t>
            </w:r>
          </w:p>
        </w:tc>
        <w:tc>
          <w:tcPr>
            <w:tcW w:type="dxa" w:w="2880"/>
          </w:tcPr>
          <w:p>
            <w:r>
              <w:t>Toda funcionalidade deverá respeitar o perfil do usuário.</w:t>
            </w:r>
          </w:p>
        </w:tc>
      </w:tr>
      <w:tr>
        <w:tc>
          <w:tcPr>
            <w:tcW w:type="dxa" w:w="2880"/>
          </w:tcPr>
          <w:p>
            <w:r>
              <w:t>RN-019</w:t>
            </w:r>
          </w:p>
        </w:tc>
        <w:tc>
          <w:tcPr>
            <w:tcW w:type="dxa" w:w="2880"/>
          </w:tcPr>
          <w:p>
            <w:r>
              <w:t>Integridade</w:t>
            </w:r>
          </w:p>
        </w:tc>
        <w:tc>
          <w:tcPr>
            <w:tcW w:type="dxa" w:w="2880"/>
          </w:tcPr>
          <w:p>
            <w:r>
              <w:t>Não será permitida a criação de registros órfãos.</w:t>
            </w:r>
          </w:p>
        </w:tc>
      </w:tr>
      <w:tr>
        <w:tc>
          <w:tcPr>
            <w:tcW w:type="dxa" w:w="2880"/>
          </w:tcPr>
          <w:p>
            <w:r>
              <w:t>RN-020</w:t>
            </w:r>
          </w:p>
        </w:tc>
        <w:tc>
          <w:tcPr>
            <w:tcW w:type="dxa" w:w="2880"/>
          </w:tcPr>
          <w:p>
            <w:r>
              <w:t>Rastreabilidade</w:t>
            </w:r>
          </w:p>
        </w:tc>
        <w:tc>
          <w:tcPr>
            <w:tcW w:type="dxa" w:w="2880"/>
          </w:tcPr>
          <w:p>
            <w:r>
              <w:t>Toda regra deverá possuir vínculo com requisitos, banco de dados e implementação.</w:t>
            </w:r>
          </w:p>
        </w:tc>
      </w:tr>
    </w:tbl>
    <w:p>
      <w:pPr>
        <w:pStyle w:val="Heading1"/>
      </w:pPr>
      <w:r>
        <w:t>3. Aplicação</w:t>
      </w:r>
    </w:p>
    <w:p>
      <w:r>
        <w:rPr>
          <w:sz w:val="22"/>
        </w:rPr>
        <w:t>As regras descritas neste documento possuem caráter obrigatório e deverão ser observadas durante o desenvolvimento, testes, homologação e manutenção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