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G4OS-DOC-008</w:t>
      </w:r>
    </w:p>
    <w:p>
      <w:pPr>
        <w:jc w:val="center"/>
      </w:pPr>
      <w:r>
        <w:rPr>
          <w:b/>
        </w:rPr>
        <w:t>API REST</w:t>
        <w:br/>
      </w:r>
      <w:r>
        <w:t>Projeto: G4 OS – Plataforma SaaS de Gestão de Ordens de Serviço</w:t>
        <w:br/>
      </w:r>
      <w:r>
        <w:t>Versão: 1.0</w:t>
        <w:br/>
      </w:r>
      <w:r>
        <w:t>Data: 29/07/2026</w:t>
      </w:r>
    </w:p>
    <w:p>
      <w:pPr>
        <w:pStyle w:val="Heading1"/>
      </w:pPr>
      <w:r>
        <w:t>1. Objetivo</w:t>
      </w:r>
    </w:p>
    <w:p>
      <w:r>
        <w:rPr>
          <w:sz w:val="22"/>
        </w:rPr>
        <w:t>Definir a arquitetura, padrões e contratos da API REST responsável pela comunicação entre o aplicativo Flutter, o banco de dados central e os módulos web do G4 OS.</w:t>
      </w:r>
    </w:p>
    <w:p>
      <w:pPr>
        <w:pStyle w:val="Heading1"/>
      </w:pPr>
      <w:r>
        <w:t>2. Arquitetura</w:t>
      </w:r>
    </w:p>
    <w:p>
      <w:r>
        <w:rPr>
          <w:sz w:val="22"/>
        </w:rPr>
        <w:t>A API será desenvolvida em PHP e utilizará comunicação HTTPS com troca de mensagens em JSON. Todas as operações ocorrerão por meio de endpoints REST autenticados.</w:t>
      </w:r>
    </w:p>
    <w:p>
      <w:pPr>
        <w:pStyle w:val="Heading1"/>
      </w:pPr>
      <w:r>
        <w:t>3. Fluxo Geral</w:t>
      </w:r>
    </w:p>
    <w:p>
      <w:r>
        <w:rPr>
          <w:sz w:val="22"/>
        </w:rPr>
        <w:t>Aplicativo Flutter</w:t>
        <w:br/>
        <w:t xml:space="preserve">      ↓</w:t>
        <w:br/>
        <w:t>HTTPS</w:t>
        <w:br/>
        <w:t xml:space="preserve">      ↓</w:t>
        <w:br/>
        <w:t>API REST</w:t>
        <w:br/>
        <w:t xml:space="preserve">      ↓</w:t>
        <w:br/>
        <w:t>Camada de Serviços</w:t>
        <w:br/>
        <w:t xml:space="preserve">      ↓</w:t>
        <w:br/>
        <w:t>MySQL/MariaDB</w:t>
        <w:br/>
        <w:t xml:space="preserve">      ↓</w:t>
        <w:br/>
        <w:t>Resposta JSON</w:t>
      </w:r>
    </w:p>
    <w:p>
      <w:pPr>
        <w:pStyle w:val="Heading1"/>
      </w:pPr>
      <w:r>
        <w:t>4. Autenticação</w:t>
      </w:r>
    </w:p>
    <w:p>
      <w:r>
        <w:rPr>
          <w:sz w:val="22"/>
        </w:rPr>
        <w:t>• Login por usuário e senha.</w:t>
        <w:br/>
        <w:t>• Emissão de token de autenticação.</w:t>
        <w:br/>
        <w:t>• Todas as requisições protegidas deverão enviar o token no cabeçalho Authorization.</w:t>
        <w:br/>
        <w:t>• A empresa será identificada pelo token autenticado.</w:t>
      </w:r>
    </w:p>
    <w:p>
      <w:pPr>
        <w:pStyle w:val="Heading1"/>
      </w:pPr>
      <w:r>
        <w:t>5. Padrão dos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Autenticação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/clientes</w:t>
            </w:r>
          </w:p>
        </w:tc>
        <w:tc>
          <w:tcPr>
            <w:tcW w:type="dxa" w:w="2880"/>
          </w:tcPr>
          <w:p>
            <w:r>
              <w:t>Listar clientes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/clientes</w:t>
            </w:r>
          </w:p>
        </w:tc>
        <w:tc>
          <w:tcPr>
            <w:tcW w:type="dxa" w:w="2880"/>
          </w:tcPr>
          <w:p>
            <w:r>
              <w:t>Cadastrar cliente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/clientes/{uuid}</w:t>
            </w:r>
          </w:p>
        </w:tc>
        <w:tc>
          <w:tcPr>
            <w:tcW w:type="dxa" w:w="2880"/>
          </w:tcPr>
          <w:p>
            <w:r>
              <w:t>Atualizar cliente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/clientes/{uuid}</w:t>
            </w:r>
          </w:p>
        </w:tc>
        <w:tc>
          <w:tcPr>
            <w:tcW w:type="dxa" w:w="2880"/>
          </w:tcPr>
          <w:p>
            <w:r>
              <w:t>Exclusão lógica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/ordens-servico</w:t>
            </w:r>
          </w:p>
        </w:tc>
        <w:tc>
          <w:tcPr>
            <w:tcW w:type="dxa" w:w="2880"/>
          </w:tcPr>
          <w:p>
            <w:r>
              <w:t>Consultar ordens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/ordens-servico</w:t>
            </w:r>
          </w:p>
        </w:tc>
        <w:tc>
          <w:tcPr>
            <w:tcW w:type="dxa" w:w="2880"/>
          </w:tcPr>
          <w:p>
            <w:r>
              <w:t>Criar ordem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/sincronizacao</w:t>
            </w:r>
          </w:p>
        </w:tc>
        <w:tc>
          <w:tcPr>
            <w:tcW w:type="dxa" w:w="2880"/>
          </w:tcPr>
          <w:p>
            <w:r>
              <w:t>Enviar registros pendentes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/sincronizacao</w:t>
            </w:r>
          </w:p>
        </w:tc>
        <w:tc>
          <w:tcPr>
            <w:tcW w:type="dxa" w:w="2880"/>
          </w:tcPr>
          <w:p>
            <w:r>
              <w:t>Receber atualizações</w:t>
            </w:r>
          </w:p>
        </w:tc>
      </w:tr>
    </w:tbl>
    <w:p>
      <w:pPr>
        <w:pStyle w:val="Heading1"/>
      </w:pPr>
      <w:r>
        <w:t>6. Formato das Requisições</w:t>
      </w:r>
    </w:p>
    <w:p>
      <w:r>
        <w:rPr>
          <w:sz w:val="22"/>
        </w:rPr>
        <w:t>Todas as requisições utilizarão JSON UTF-8 contendo apenas os campos necessários para a operação. UUID será o identificador principal dos registros.</w:t>
      </w:r>
    </w:p>
    <w:p>
      <w:pPr>
        <w:pStyle w:val="Heading1"/>
      </w:pPr>
      <w:r>
        <w:t>7. Formato das Respostas</w:t>
      </w:r>
    </w:p>
    <w:p>
      <w:r>
        <w:rPr>
          <w:sz w:val="22"/>
        </w:rPr>
        <w:t>Resposta padrão:</w:t>
        <w:br/>
        <w:t>• success</w:t>
        <w:br/>
        <w:t>• message</w:t>
        <w:br/>
        <w:t>• data</w:t>
        <w:br/>
        <w:t>• errors (quando aplicável)</w:t>
        <w:br/>
        <w:t>• timestamp</w:t>
      </w:r>
    </w:p>
    <w:p>
      <w:pPr>
        <w:pStyle w:val="Heading1"/>
      </w:pPr>
      <w:r>
        <w:t>8. Códigos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Criado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Requisição inválida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Não autenticado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Acesso negado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Não encontrado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Conflito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 interno</w:t>
            </w:r>
          </w:p>
        </w:tc>
      </w:tr>
    </w:tbl>
    <w:p>
      <w:pPr>
        <w:pStyle w:val="Heading1"/>
      </w:pPr>
      <w:r>
        <w:t>9. Sincronização</w:t>
      </w:r>
    </w:p>
    <w:p>
      <w:r>
        <w:rPr>
          <w:sz w:val="22"/>
        </w:rPr>
        <w:t>A API deverá aceitar operações incrementais, identificando registros por UUID. Atualizações deverão preservar integridade e evitar duplicidade. O retorno deverá informar os registros processados com sucesso e os rejeitados.</w:t>
      </w:r>
    </w:p>
    <w:p>
      <w:pPr>
        <w:pStyle w:val="Heading1"/>
      </w:pPr>
      <w:r>
        <w:t>10. Segurança</w:t>
      </w:r>
    </w:p>
    <w:p>
      <w:r>
        <w:rPr>
          <w:sz w:val="22"/>
        </w:rPr>
        <w:t>• HTTPS obrigatório.</w:t>
        <w:br/>
        <w:t>• Tokens com validade controlada.</w:t>
        <w:br/>
        <w:t>• Validação de perfil de acesso.</w:t>
        <w:br/>
        <w:t>• Registro de auditoria das operações críticas.</w:t>
        <w:br/>
        <w:t>• Nunca confiar em EMPRESA_UUID enviado pelo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