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  <w:t>INTRODUZIONE</w:t>
      </w:r>
    </w:p>
    <w:p w:rsid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Il rivelatore al Germanio è inserito all'interno di un dewar e mantenuto a 77 K grazie ad un bagno in azoto liquido.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Nel caso del Germanio il gap di banda è piuttosto basso (0.67 eV contro 1.12 eV del Silicio) quindi non è possibile utilizzare un rivelatore di questo tipo a temperatura ambiente, in quanto la corrente oscura indotta termicamente risulterebbe eccessivamente elevata.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Il rivelatore Ortec GEM20P utilizzato ha un’efficienza del 20% e una risoluzione FWHM di 1.8 keV a 1332 keV (efficienza relativa e risoluzione FWHM vengono fornite per convenzione alla riga 1332 keV).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Determinare le condizioni di lavoro ottimali significa definire quali siano la tensione di polarizzazione e i tempi di formatura tali da minimizzare la risoluzione energetica del rivelatore.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Per fare questo si studia un picco gamma generato da una sorgente nota (22Na) in funzione della polarizzazione applicata (HV) e del tempo di shaping.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 tempi di shaping selezionabili sono: 0.5, 1, 2, 3, 6, e 10 μs, mentre le polarizzazioni variano nel range da 2000 a 5000 V (HV e shaping time sono da considerarsi senza errore).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  <w:t>I dati all'interno di ogni file non rappresentano i campionamenti temporali, come nella precedente esperienza, bensì una distribuzione.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Avete infatti 8192 righe ognuna delle quali rappresenta il conteggio per il relativo canale (riga 0 ↔ Canale 0, riga 4000 ↔ canale 4000, etc).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Nell'analizzare gli spettri dovrete valutare voi se variare o meno la dimensione del bin.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Le misure in funzione dell'HV sono state prese con il seguente guadagno: coarse gain = 50 e fine gain = 5. 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Le misure di shaping time sono state prese nelle condizioni precedenti di guadagno e scegliendo come HV quella che al punto precedente minimizzava la risoluzione.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Per ogni spettro scegliete la riga più intensa andandone a valutare posizione e sigma. Nel modello di fit dovrete anche tener conto del fondo che si va a sovrapporre al picco.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Quando lo shaping time supera un certo valore potrebbe presentarsi il fenomeno del pile-up. Per gli eventi con pile-up le ampiezze non vengono valutate correttamente e il picco globale risulta deformato; tenetene eventualmente conto nel vostro modello di fit.  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  <w:t> 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  <w:t>Gli obiettivi di questa misura sono:</w:t>
      </w:r>
    </w:p>
    <w:p w:rsidR="0080314F" w:rsidRPr="0080314F" w:rsidRDefault="0080314F" w:rsidP="00803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Studio delle curve risoluzione vs. HV e risoluzione vs. shaping time e modellizzazione dell'andamento ottenuto;</w:t>
      </w:r>
    </w:p>
    <w:p w:rsidR="0080314F" w:rsidRDefault="0080314F" w:rsidP="00803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Determinazione dei valori di HV e shaping time che ottimizzano la risoluzione; </w:t>
      </w:r>
    </w:p>
    <w:p w:rsidR="00D34AA4" w:rsidRPr="00D34AA4" w:rsidRDefault="00D34AA4" w:rsidP="00D34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</w:pPr>
      <w:r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  <w:t>PER OGNI DISTRIBUZIONE SIA IN FUNZIONE DI HV CHE IN FUNZIONE DELLO SHAPING TIME DOBBIAMO ESTRAPOLARE IL PICCO (POSIZIONE + SIGMA); CALCOLARE LA RISOLUZIONE PER OGNI PICCO; GRAFICI RISOLUZIONE IN FUNZIONE DI HV E RISOLUZIONE IN FUNZIONE DI SHAPING TIME; TROVARE I VALORI CHE OTTIMIZZANO LA RISOLUZIONE (CHE DANNO QUELLA PIU’ BASSA)</w:t>
      </w:r>
    </w:p>
    <w:p w:rsidR="0080314F" w:rsidRPr="0080314F" w:rsidRDefault="0080314F" w:rsidP="0080314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  <w:t>CALIBRAZIONE IN ENERGIA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In questa parte si analizzano gli spettri acquisiti utilizzando delle sorgenti note per estrapolare la curva Energia ↔ Canali.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Il sistema è configurato secondo i parametri ottimi estrapolati nel punto precedente.  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Le sorgenti utilizzate sono 22Na, 60Co, 228Th.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Ogni misura è durata 3 minuti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.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Gli obiettivi di questa misura sono:</w:t>
      </w:r>
    </w:p>
    <w:p w:rsidR="0080314F" w:rsidRPr="0080314F" w:rsidRDefault="0080314F" w:rsidP="008031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Determinazione della curva di calibrazione Energia ↔ Canali, andando a verificare quale sia il miglior modello analitico che si adatti all'andamento sperimentale;</w:t>
      </w:r>
    </w:p>
    <w:p w:rsidR="0080314F" w:rsidRPr="0080314F" w:rsidRDefault="0080314F" w:rsidP="008031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Studio e modellizzazione della curva della risoluzione in funzione dell'energia andandone ad esplicitare i vari contributi;</w:t>
      </w:r>
    </w:p>
    <w:p w:rsidR="0080314F" w:rsidRDefault="0080314F" w:rsidP="008031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Stima dell'efficienza assoluta del rivelatore alle diverse energie e modellizzazione dell'andamento ottenuto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;</w:t>
      </w:r>
    </w:p>
    <w:p w:rsidR="00D34AA4" w:rsidRDefault="00D34AA4" w:rsidP="00D34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</w:pPr>
      <w:r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  <w:t>MI SEMBRA CHE SIA DA FARE QUELLO CHE È STATO FATTO NELLA PRIMA ESPERIENZA</w:t>
      </w:r>
    </w:p>
    <w:p w:rsidR="00D34AA4" w:rsidRPr="00D34AA4" w:rsidRDefault="00D34AA4" w:rsidP="00D34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</w:pPr>
    </w:p>
    <w:p w:rsidR="0080314F" w:rsidRPr="0080314F" w:rsidRDefault="0080314F" w:rsidP="0080314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shd w:val="clear" w:color="auto" w:fill="FFFFFF"/>
          <w:lang w:eastAsia="it-IT"/>
        </w:rPr>
      </w:pPr>
      <w:r>
        <w:rPr>
          <w:rFonts w:ascii="Helvetica" w:eastAsia="Times New Roman" w:hAnsi="Helvetica" w:cs="Helvetica"/>
          <w:b/>
          <w:bCs/>
          <w:color w:val="222222"/>
          <w:sz w:val="20"/>
          <w:szCs w:val="20"/>
          <w:shd w:val="clear" w:color="auto" w:fill="FFFFFF"/>
          <w:lang w:eastAsia="it-IT"/>
        </w:rPr>
        <w:lastRenderedPageBreak/>
        <w:t>CALIBRAZIONE IN ENERGIA CON SORGENTE MULTI-GAMMA</w:t>
      </w:r>
    </w:p>
    <w:p w:rsidR="0080314F" w:rsidRPr="0080314F" w:rsidRDefault="0080314F" w:rsidP="008031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b/>
          <w:bCs/>
          <w:color w:val="222222"/>
          <w:sz w:val="20"/>
          <w:szCs w:val="20"/>
          <w:shd w:val="clear" w:color="auto" w:fill="FFFFFF"/>
          <w:lang w:eastAsia="it-IT"/>
        </w:rPr>
        <w:br/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Il rivelatore si trova nella condizione ottima dal punto di vista del guadagno, polarizzazione e scelta dello shaping time.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La misura di calibrazione è effettuata con una sorgente multi-gamma.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A</w:t>
      </w:r>
      <w:r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 xml:space="preserve">l link si trova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la scheda della sorgente con energie, attività e frequenza di emissione.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Le attività riportate sono riferite alla data di certificazione presente sulla scheda (01 Gennaio 2013), per le vostre analisi dovrete calcolare le attività al giorno della misura (07 Aprile 2020).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Visto che la sorgente è vecchia di qualche anno, esiste la probabilità che qualche radionuclide indicato nella scheda non sia più attivo, eventualmente dovete indicare quale.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L'acquisizione è durata 3600 s con un tempo morto trascurabile. Trovate il live-time della misura anche tra le prime righe del file con lo spettro.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Anche in questo caso i dati forniscono una distribuzione dove ogni riga corrisponde ad un canale.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shd w:val="clear" w:color="auto" w:fill="FFFFFF"/>
          <w:lang w:eastAsia="it-IT"/>
        </w:rPr>
        <w:t>L'obiettivo di questa calibrazione sono:</w:t>
      </w:r>
    </w:p>
    <w:p w:rsidR="0080314F" w:rsidRPr="0080314F" w:rsidRDefault="0080314F" w:rsidP="0080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Determinazione della curva di calibrazione Energia ↔ Canali;</w:t>
      </w:r>
    </w:p>
    <w:p w:rsidR="0080314F" w:rsidRPr="0080314F" w:rsidRDefault="0080314F" w:rsidP="0080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Studio e modellizzazione della curva della risoluzione in funzione dell'energia andandone ad esplicitare i vari contributi;</w:t>
      </w:r>
    </w:p>
    <w:p w:rsidR="0080314F" w:rsidRPr="0080314F" w:rsidRDefault="0080314F" w:rsidP="0080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Stima dell'efficienza assoluta del rivelatore alle diverse energie e modellizzazione dell'andamento ottenuto;</w:t>
      </w:r>
    </w:p>
    <w:p w:rsidR="0080314F" w:rsidRDefault="0080314F" w:rsidP="0080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Giustificazione del picco presente a 2505 keV, non previsto considerando la sorgente multi-gamma utilizzata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;</w:t>
      </w:r>
    </w:p>
    <w:p w:rsidR="00D34AA4" w:rsidRPr="00D34AA4" w:rsidRDefault="00D34AA4" w:rsidP="00D34A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</w:pPr>
      <w:r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  <w:t>ANCHE QUI MI SEMBRA CI SIANO DA FARE LE STESSE COSE DEL PUNTO PRECEDENTE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it-IT"/>
        </w:rPr>
        <w:t>RICONOSCIMENTO SORGENTE IGNOTA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  <w:t>Sfruttando la calibrazione del punto precedente dovete analizzare uno spettro ignoto andando a definire quale sia la sorgente che lo ha generato.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L'acquisizione con la sorgente è durata 81998 s con un tempo morto trascurabile.</w:t>
      </w:r>
      <w:r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 xml:space="preserve"> 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L'acquisizione senza sorgente, necessaria per valutare il fondo naturale, è durata 95330 s con un tempo morto trascurabile.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</w:r>
      <w:r w:rsidR="006635A7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Al link si trova</w:t>
      </w:r>
    </w:p>
    <w:p w:rsidR="0080314F" w:rsidRPr="0080314F" w:rsidRDefault="0080314F" w:rsidP="00803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Il nome del file con lo spettro ottenuto con la sorgente contiene la stringa YYYYY</w:t>
      </w:r>
    </w:p>
    <w:p w:rsidR="0080314F" w:rsidRPr="0080314F" w:rsidRDefault="0080314F" w:rsidP="00803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Il nome del file con lo spettro ottenuto senza sorgente contiene la stringa FoSil</w:t>
      </w:r>
    </w:p>
    <w:p w:rsidR="0080314F" w:rsidRPr="0080314F" w:rsidRDefault="0080314F" w:rsidP="008031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Gli obiettivi di questa misura sono:</w:t>
      </w:r>
    </w:p>
    <w:p w:rsidR="0080314F" w:rsidRPr="0080314F" w:rsidRDefault="0080314F" w:rsidP="0080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Analisi qualitativa dei picchi, andando a riconoscere i vari radionuclidi e determinando la sorgente primaria utilizzata. I picchi potrebbero essere tanti, iniziate ad individuare quelli più intensi. Un utile strumento per fare questo è il Lund/LBNL database (</w:t>
      </w:r>
      <w:hyperlink r:id="rId5" w:tgtFrame="_blank" w:history="1">
        <w:r w:rsidRPr="0080314F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it-IT"/>
          </w:rPr>
          <w:t>http://nucleardata.nuclear.lu.se/toi/</w:t>
        </w:r>
      </w:hyperlink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).</w:t>
      </w: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br/>
        <w:t>La misura del fondo naturale vi aiuterà a determinare i reali contributi dovuti alla sorgente;</w:t>
      </w:r>
    </w:p>
    <w:p w:rsidR="0080314F" w:rsidRPr="0080314F" w:rsidRDefault="0080314F" w:rsidP="0080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  <w:r w:rsidRPr="0080314F"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  <w:t>Determinazione della curva di risoluzione in funzione dell'energia e determinazione del fattore di Fano (sfruttando il fatto che in questo caso il numero di picchi è ben maggiore rispetto ai precedenti casi).</w:t>
      </w:r>
    </w:p>
    <w:p w:rsidR="0080314F" w:rsidRPr="00D34AA4" w:rsidRDefault="00D34AA4" w:rsidP="0080314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</w:pPr>
      <w:r>
        <w:rPr>
          <w:rFonts w:ascii="Helvetica" w:eastAsia="Times New Roman" w:hAnsi="Helvetica" w:cs="Helvetica"/>
          <w:color w:val="4472C4" w:themeColor="accent1"/>
          <w:sz w:val="20"/>
          <w:szCs w:val="20"/>
          <w:lang w:eastAsia="it-IT"/>
        </w:rPr>
        <w:t>DOBBIAMO USARE LA CALIBRAZIONE DEL PUNTO 3; INDIVIDUARE I PICCHI DALLO SPETTRO (SI RIESCE A FARE UN GRAFICO SOTTRAENDO IL FONDO ALLO SPETTRO ?); DETERMINARE LA SORGENTE DAI PICCHI; CURVA RISOLUZIONE-ENERGIA; DETERMINARE IL FATTORE DI FANO (COME ?)</w:t>
      </w:r>
      <w:bookmarkStart w:id="0" w:name="_GoBack"/>
      <w:bookmarkEnd w:id="0"/>
    </w:p>
    <w:p w:rsidR="0080314F" w:rsidRPr="0080314F" w:rsidRDefault="0080314F" w:rsidP="0080314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it-IT"/>
        </w:rPr>
      </w:pPr>
    </w:p>
    <w:p w:rsidR="0097579C" w:rsidRPr="0080314F" w:rsidRDefault="0097579C">
      <w:pPr>
        <w:rPr>
          <w:sz w:val="20"/>
          <w:szCs w:val="20"/>
        </w:rPr>
      </w:pPr>
    </w:p>
    <w:sectPr w:rsidR="0097579C" w:rsidRPr="008031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471C"/>
    <w:multiLevelType w:val="multilevel"/>
    <w:tmpl w:val="A11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0795D"/>
    <w:multiLevelType w:val="multilevel"/>
    <w:tmpl w:val="75F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554CB"/>
    <w:multiLevelType w:val="multilevel"/>
    <w:tmpl w:val="8D0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C3415"/>
    <w:multiLevelType w:val="multilevel"/>
    <w:tmpl w:val="6F1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B5F6C"/>
    <w:multiLevelType w:val="multilevel"/>
    <w:tmpl w:val="18A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4F"/>
    <w:rsid w:val="006635A7"/>
    <w:rsid w:val="0080314F"/>
    <w:rsid w:val="0097579C"/>
    <w:rsid w:val="00D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456E"/>
  <w15:chartTrackingRefBased/>
  <w15:docId w15:val="{9A22BA82-04BB-4C47-BF73-C89D0523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03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cleardata.nuclear.lu.se/t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Cavallaro</dc:creator>
  <cp:keywords/>
  <dc:description/>
  <cp:lastModifiedBy>Gianluca Cavallaro</cp:lastModifiedBy>
  <cp:revision>2</cp:revision>
  <dcterms:created xsi:type="dcterms:W3CDTF">2020-04-16T08:36:00Z</dcterms:created>
  <dcterms:modified xsi:type="dcterms:W3CDTF">2020-04-16T09:10:00Z</dcterms:modified>
</cp:coreProperties>
</file>