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_style"/>
        </w:rPr>
        <w:t>Perioadele campaniei din 2022 pentru Constelația Pegasus: 8 octombrie - 17 octombrie, 7 noiembrie - 16 noiembrie.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_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Pegasus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_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_style"/>
        </w:rPr>
        <w:t>Perioadele campaniei din 2022 pentru Constelația Pegasus: 8 octombrie - 17 octombrie, 7 noiembrie - 16 noiembrie.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_style"/>
        </w:rPr>
        <w:t>Perioadele campaniei din 2022 pentru Constelația Pegasus: 8 octombrie - 17 octombrie, 7 noiembrie - 16 noiembrie.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_style"/>
        </w:rPr>
        <w:t>Perioadele campaniei din 2022 pentru Constelația Pegasus: 8 octombrie - 17 octombrie, 7 noiembrie - 16 noiembrie.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