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Laboratorio 2</w:t>
      </w:r>
    </w:p>
    <w:p/>
    <w:p>
      <w:pPr>
        <w:jc w:val="center"/>
      </w:pPr>
      <w:r>
        <w:rPr>
          <w:i/>
          <w:sz w:val="28"/>
        </w:rPr>
        <w:t>Ingest y almacenamiento de AIP (preservación)</w:t>
      </w:r>
    </w:p>
    <w:p/>
    <w:p>
      <w:pPr>
        <w:jc w:val="center"/>
      </w:pPr>
      <w:r>
        <w:rPr>
          <w:b/>
          <w:sz w:val="24"/>
        </w:rPr>
        <w:t>Accesos del entorno de práctica</w:t>
      </w:r>
    </w:p>
    <w:p>
      <w:pPr>
        <w:jc w:val="center"/>
      </w:pPr>
      <w:r>
        <w:t>Archivematica (Dashboard): http://10.248.36.168:62080</w:t>
      </w:r>
    </w:p>
    <w:p>
      <w:pPr>
        <w:jc w:val="center"/>
      </w:pPr>
      <w:r>
        <w:t>Storage Service: http://10.248.36.168:62081</w:t>
      </w:r>
    </w:p>
    <w:p/>
    <w:p>
      <w:pPr>
        <w:jc w:val="center"/>
      </w:pPr>
      <w:r>
        <w:rPr>
          <w:sz w:val="20"/>
        </w:rPr>
        <w:t>Versión: v1.0 • Fecha: 2026-03-03</w:t>
      </w:r>
    </w:p>
    <w:p>
      <w:r>
        <w:br w:type="page"/>
      </w:r>
    </w:p>
    <w:p>
      <w:pPr>
        <w:pStyle w:val="Heading1"/>
      </w:pPr>
      <w:r>
        <w:t>Objetivo</w:t>
      </w:r>
    </w:p>
    <w:p>
      <w:r>
        <w:t>Completar el flujo de Ingest para producir y almacenar un AIP, registrando decisiones archivísticas y validando con checklist.</w:t>
      </w:r>
    </w:p>
    <w:p>
      <w:pPr>
        <w:pStyle w:val="Heading1"/>
      </w:pPr>
      <w:r>
        <w:t>Paso a paso</w:t>
      </w:r>
    </w:p>
    <w:p>
      <w:pPr>
        <w:pStyle w:val="ListNumber"/>
      </w:pPr>
      <w:r>
        <w:t>Entre al Dashboard y vaya a la pestaña “Ingest”.</w:t>
      </w:r>
    </w:p>
    <w:p>
      <w:pPr>
        <w:pStyle w:val="ListNumber"/>
      </w:pPr>
      <w:r>
        <w:t>Localice su paquete (Uxx_EXP-001).</w:t>
      </w:r>
    </w:p>
    <w:p>
      <w:pPr>
        <w:pStyle w:val="ListNumber"/>
      </w:pPr>
      <w:r>
        <w:t>En los puntos de decisión, aplique la política indicada por el docente (p. ej., normalización para preservación).</w:t>
      </w:r>
    </w:p>
    <w:p>
      <w:pPr>
        <w:pStyle w:val="ListNumber"/>
      </w:pPr>
      <w:r>
        <w:t>Espere a que finalicen los microservicios principales (normalización, empaquetado, etc.).</w:t>
      </w:r>
    </w:p>
    <w:p>
      <w:pPr>
        <w:pStyle w:val="ListNumber"/>
      </w:pPr>
      <w:r>
        <w:t>Cuando aparezca “Store AIP”, seleccione el Location indicado por el docente y confirme el almacenamiento.</w:t>
      </w:r>
    </w:p>
    <w:p>
      <w:pPr>
        <w:pStyle w:val="ListNumber"/>
      </w:pPr>
      <w:r>
        <w:t>Vaya a “Archival Storage” y verifique que el AIP aparezca almacenado.</w:t>
      </w:r>
    </w:p>
    <w:p>
      <w:pPr>
        <w:pStyle w:val="Heading1"/>
      </w:pPr>
      <w:r>
        <w:t>Bitácora de decisiones (complete)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Decisión</w:t>
            </w:r>
          </w:p>
        </w:tc>
        <w:tc>
          <w:tcPr>
            <w:tcW w:type="dxa" w:w="2880"/>
          </w:tcPr>
          <w:p>
            <w:r>
              <w:t>Opción aplicada</w:t>
            </w:r>
          </w:p>
        </w:tc>
        <w:tc>
          <w:tcPr>
            <w:tcW w:type="dxa" w:w="2880"/>
          </w:tcPr>
          <w:p>
            <w:r>
              <w:t>Justificación (1–2 líneas)</w:t>
            </w:r>
          </w:p>
        </w:tc>
      </w:tr>
      <w:tr>
        <w:tc>
          <w:tcPr>
            <w:tcW w:type="dxa" w:w="2880"/>
          </w:tcPr>
          <w:p>
            <w:r>
              <w:t>Normalización (preservación)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Normalización (acceso / DIP)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Formatos desconocidos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Revisión de resultados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Checklist AIP (mínimo 10 puntos)</w:t>
      </w:r>
    </w:p>
    <w:p>
      <w:pPr>
        <w:pStyle w:val="ListBullet"/>
      </w:pPr>
      <w:r>
        <w:t>El AIP quedó almacenado en Archival Storage con el nombre correcto.</w:t>
      </w:r>
    </w:p>
    <w:p>
      <w:pPr>
        <w:pStyle w:val="ListBullet"/>
      </w:pPr>
      <w:r>
        <w:t>El conteo de archivos esperados coincide (aprox.) con el expediente original.</w:t>
      </w:r>
    </w:p>
    <w:p>
      <w:pPr>
        <w:pStyle w:val="ListBullet"/>
      </w:pPr>
      <w:r>
        <w:t>Existe un METS dentro del paquete (verificación conceptual: el AIP incluye metadatos estructurales).</w:t>
      </w:r>
    </w:p>
    <w:p>
      <w:pPr>
        <w:pStyle w:val="ListBullet"/>
      </w:pPr>
      <w:r>
        <w:t>Los objetos principales están presentes (no faltan documentos).</w:t>
      </w:r>
    </w:p>
    <w:p>
      <w:pPr>
        <w:pStyle w:val="ListBullet"/>
      </w:pPr>
      <w:r>
        <w:t>Si se activó normalización, existen derivados de preservación donde corresponde.</w:t>
      </w:r>
    </w:p>
    <w:p>
      <w:pPr>
        <w:pStyle w:val="ListBullet"/>
      </w:pPr>
      <w:r>
        <w:t>No hay errores críticos en los microservicios (si los hubo, se documentaron).</w:t>
      </w:r>
    </w:p>
    <w:p>
      <w:pPr>
        <w:pStyle w:val="ListBullet"/>
      </w:pPr>
      <w:r>
        <w:t>Se completó la bitácora de decisiones.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Laboratorio 2 • Ingest y AIP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