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Laboratorio 3</w:t>
      </w:r>
    </w:p>
    <w:p/>
    <w:p>
      <w:pPr>
        <w:jc w:val="center"/>
      </w:pPr>
      <w:r>
        <w:rPr>
          <w:i/>
          <w:sz w:val="28"/>
        </w:rPr>
        <w:t>DIP, caso final y procedimiento estándar</w:t>
      </w:r>
    </w:p>
    <w:p/>
    <w:p>
      <w:pPr>
        <w:jc w:val="center"/>
      </w:pPr>
      <w:r>
        <w:rPr>
          <w:b/>
          <w:sz w:val="24"/>
        </w:rPr>
        <w:t>Accesos del entorno de práctica</w:t>
      </w:r>
    </w:p>
    <w:p>
      <w:pPr>
        <w:jc w:val="center"/>
      </w:pPr>
      <w:r>
        <w:t>Archivematica (Dashboard): http://10.248.36.168:62080</w:t>
      </w:r>
    </w:p>
    <w:p>
      <w:pPr>
        <w:jc w:val="center"/>
      </w:pPr>
      <w:r>
        <w:t>Storage Service: http://10.248.36.168:62081</w:t>
      </w:r>
    </w:p>
    <w:p/>
    <w:p>
      <w:pPr>
        <w:jc w:val="center"/>
      </w:pPr>
      <w:r>
        <w:rPr>
          <w:sz w:val="20"/>
        </w:rPr>
        <w:t>Versión: v1.0 • Fecha: 2026-03-03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Ejecutar un caso final de punta a punta (Transfer → SIP → Ingest → Store AIP → DIP si aplica) y entregar evidencias con checklist y rúbrica.</w:t>
      </w:r>
    </w:p>
    <w:p>
      <w:pPr>
        <w:pStyle w:val="Heading1"/>
      </w:pPr>
      <w:r>
        <w:t>Parte A — Caso final (operación autónoma)</w:t>
      </w:r>
    </w:p>
    <w:p>
      <w:r>
        <w:t>Trabaje con su expediente asignado por el docente (puede ser el mismo u otro).</w:t>
      </w:r>
    </w:p>
    <w:p>
      <w:pPr>
        <w:pStyle w:val="ListNumber"/>
      </w:pPr>
      <w:r>
        <w:t>Ejecute Transfer y cree el SIP (si aún no existe).</w:t>
      </w:r>
    </w:p>
    <w:p>
      <w:pPr>
        <w:pStyle w:val="ListNumber"/>
      </w:pPr>
      <w:r>
        <w:t>Complete Ingest siguiendo la política definida.</w:t>
      </w:r>
    </w:p>
    <w:p>
      <w:pPr>
        <w:pStyle w:val="ListNumber"/>
      </w:pPr>
      <w:r>
        <w:t>Almacene el AIP (Store AIP).</w:t>
      </w:r>
    </w:p>
    <w:p>
      <w:pPr>
        <w:pStyle w:val="ListNumber"/>
      </w:pPr>
      <w:r>
        <w:t>Si se solicita, genere o revise el DIP.</w:t>
      </w:r>
    </w:p>
    <w:p>
      <w:pPr>
        <w:pStyle w:val="ListNumber"/>
      </w:pPr>
      <w:r>
        <w:t>Complete evidencias: nombre del paquete, capturas (si el docente lo pide), checklist final.</w:t>
      </w:r>
    </w:p>
    <w:p>
      <w:pPr>
        <w:pStyle w:val="Heading1"/>
      </w:pPr>
      <w:r>
        <w:t>Parte B — Automatización mínima (demostración)</w:t>
      </w:r>
    </w:p>
    <w:p>
      <w:r>
        <w:t>El docente mostrará el concepto de “processing configuration” para estandarizar decisiones. En esta clase no es requisito editar archivos; el objetivo es comprender qué se puede automatizar y qué debe mantenerse como punto de decisión archivística.</w:t>
      </w:r>
    </w:p>
    <w:p>
      <w:pPr>
        <w:pStyle w:val="Heading1"/>
      </w:pPr>
      <w:r>
        <w:t>Checklist final (AIP/DIP)</w:t>
      </w:r>
    </w:p>
    <w:p>
      <w:pPr>
        <w:pStyle w:val="ListBullet"/>
      </w:pPr>
      <w:r>
        <w:t>AIP almacenado y visible en Archival Storage.</w:t>
      </w:r>
    </w:p>
    <w:p>
      <w:pPr>
        <w:pStyle w:val="ListBullet"/>
      </w:pPr>
      <w:r>
        <w:t>Bitácora con al menos 3 decisiones documentadas.</w:t>
      </w:r>
    </w:p>
    <w:p>
      <w:pPr>
        <w:pStyle w:val="ListBullet"/>
      </w:pPr>
      <w:r>
        <w:t>Si hay DIP: se puede ubicar y validar que representa el acceso (derivados, estructura).</w:t>
      </w:r>
    </w:p>
    <w:p>
      <w:pPr>
        <w:pStyle w:val="ListBullet"/>
      </w:pPr>
      <w:r>
        <w:t>Se registró al menos 1 incidencia o hallazgo (aunque sea ‘no hubo incidencias’).</w:t>
      </w:r>
    </w:p>
    <w:p>
      <w:pPr>
        <w:pStyle w:val="Heading1"/>
      </w:pPr>
      <w:r>
        <w:t>Rúbrica (sugerida)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Nivel</w:t>
            </w:r>
          </w:p>
        </w:tc>
        <w:tc>
          <w:tcPr>
            <w:tcW w:type="dxa" w:w="2160"/>
          </w:tcPr>
          <w:p>
            <w:r>
              <w:t>Transfer + SIP</w:t>
            </w:r>
          </w:p>
        </w:tc>
        <w:tc>
          <w:tcPr>
            <w:tcW w:type="dxa" w:w="2160"/>
          </w:tcPr>
          <w:p>
            <w:r>
              <w:t>Ingest + AIP</w:t>
            </w:r>
          </w:p>
        </w:tc>
        <w:tc>
          <w:tcPr>
            <w:tcW w:type="dxa" w:w="2160"/>
          </w:tcPr>
          <w:p>
            <w:r>
              <w:t>DIP + documentación</w:t>
            </w:r>
          </w:p>
        </w:tc>
      </w:tr>
      <w:tr>
        <w:tc>
          <w:tcPr>
            <w:tcW w:type="dxa" w:w="2160"/>
          </w:tcPr>
          <w:p>
            <w:r>
              <w:t>Apto</w:t>
            </w:r>
          </w:p>
        </w:tc>
        <w:tc>
          <w:tcPr>
            <w:tcW w:type="dxa" w:w="2160"/>
          </w:tcPr>
          <w:p>
            <w:r>
              <w:t>Nombre correcto y SIP creado sin errores críticos</w:t>
            </w:r>
          </w:p>
        </w:tc>
        <w:tc>
          <w:tcPr>
            <w:tcW w:type="dxa" w:w="2160"/>
          </w:tcPr>
          <w:p>
            <w:r>
              <w:t>AIP almacenado + checklist completo</w:t>
            </w:r>
          </w:p>
        </w:tc>
        <w:tc>
          <w:tcPr>
            <w:tcW w:type="dxa" w:w="2160"/>
          </w:tcPr>
          <w:p>
            <w:r>
              <w:t>DIP revisado (si aplica) + bitácora (≥3 decisiones)</w:t>
            </w:r>
          </w:p>
        </w:tc>
      </w:tr>
      <w:tr>
        <w:tc>
          <w:tcPr>
            <w:tcW w:type="dxa" w:w="2160"/>
          </w:tcPr>
          <w:p>
            <w:r>
              <w:t>En progreso</w:t>
            </w:r>
          </w:p>
        </w:tc>
        <w:tc>
          <w:tcPr>
            <w:tcW w:type="dxa" w:w="2160"/>
          </w:tcPr>
          <w:p>
            <w:r>
              <w:t>SIP creado con confusiones de naming o selección de carpeta</w:t>
            </w:r>
          </w:p>
        </w:tc>
        <w:tc>
          <w:tcPr>
            <w:tcW w:type="dxa" w:w="2160"/>
          </w:tcPr>
          <w:p>
            <w:r>
              <w:t>AIP almacenado pero checklist incompleto</w:t>
            </w:r>
          </w:p>
        </w:tc>
        <w:tc>
          <w:tcPr>
            <w:tcW w:type="dxa" w:w="2160"/>
          </w:tcPr>
          <w:p>
            <w:r>
              <w:t>Bitácora incompleta o DIP no revisado</w:t>
            </w:r>
          </w:p>
        </w:tc>
      </w:tr>
      <w:tr>
        <w:tc>
          <w:tcPr>
            <w:tcW w:type="dxa" w:w="2160"/>
          </w:tcPr>
          <w:p>
            <w:r>
              <w:t>No apto</w:t>
            </w:r>
          </w:p>
        </w:tc>
        <w:tc>
          <w:tcPr>
            <w:tcW w:type="dxa" w:w="2160"/>
          </w:tcPr>
          <w:p>
            <w:r>
              <w:t>No se completó SIP o se procesó el expediente incorrecto</w:t>
            </w:r>
          </w:p>
        </w:tc>
        <w:tc>
          <w:tcPr>
            <w:tcW w:type="dxa" w:w="2160"/>
          </w:tcPr>
          <w:p>
            <w:r>
              <w:t>No se almacenó AIP</w:t>
            </w:r>
          </w:p>
        </w:tc>
        <w:tc>
          <w:tcPr>
            <w:tcW w:type="dxa" w:w="2160"/>
          </w:tcPr>
          <w:p>
            <w:r>
              <w:t>No hay evidencias ni bitácora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Laboratorio 3 • DIP y Caso Final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