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AB7DBD"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AB7DBD"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AB7DBD"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AB7DBD"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AB7DBD"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7F1633">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7F1633">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7F1633">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7F1633">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7F1633">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7F1633">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7F1633">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7F1633">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7F1633">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7F1633">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proofErr w:type="gramStart"/>
      <w:r w:rsidRPr="00F3216F">
        <w:rPr>
          <w:rFonts w:ascii="Garamond" w:hAnsi="Garamond" w:cs="Garamond"/>
          <w:b/>
          <w:bCs/>
          <w:kern w:val="0"/>
          <w:szCs w:val="24"/>
          <w:lang w:val="it-IT" w:bidi="ar-SA"/>
        </w:rPr>
        <w:t>.idea</w:t>
      </w:r>
      <w:proofErr w:type="gramEnd"/>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w:t>
      </w:r>
      <w:proofErr w:type="gramEnd"/>
      <w:r w:rsidRPr="00F3216F">
        <w:rPr>
          <w:rFonts w:ascii="Garamond" w:hAnsi="Garamond" w:cs="Garamond"/>
          <w:kern w:val="0"/>
          <w:szCs w:val="24"/>
          <w:lang w:val="it-IT" w:bidi="ar-SA"/>
        </w:rPr>
        <w:t xml:space="preserve">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939FB19"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resources</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xml:space="preserve">contiene i file relativi alle componenti </w:t>
      </w:r>
      <w:proofErr w:type="spellStart"/>
      <w:r w:rsidRPr="00F3216F">
        <w:rPr>
          <w:rFonts w:ascii="Garamond" w:hAnsi="Garamond" w:cs="Garamond"/>
          <w:kern w:val="0"/>
          <w:szCs w:val="24"/>
          <w:lang w:val="it-IT" w:bidi="ar-SA"/>
        </w:rPr>
        <w:t>View</w:t>
      </w:r>
      <w:proofErr w:type="spellEnd"/>
    </w:p>
    <w:p w14:paraId="4062E1C6" w14:textId="557843CA"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static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fogli di stile CSS e gli script JS</w:t>
      </w:r>
    </w:p>
    <w:p w14:paraId="01CD7A59" w14:textId="4E8AB8D3"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templates,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77777777"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alla </w:t>
      </w:r>
      <w:proofErr w:type="spellStart"/>
      <w:r w:rsidRPr="00F3216F">
        <w:rPr>
          <w:rFonts w:ascii="Garamond" w:hAnsi="Garamond" w:cs="Garamond"/>
          <w:kern w:val="0"/>
          <w:szCs w:val="24"/>
          <w:lang w:val="it-IT" w:bidi="ar-SA"/>
        </w:rPr>
        <w:t>view</w:t>
      </w:r>
      <w:proofErr w:type="spellEnd"/>
      <w:r w:rsidRPr="00F3216F">
        <w:rPr>
          <w:rFonts w:ascii="Garamond" w:hAnsi="Garamond" w:cs="Garamond"/>
          <w:kern w:val="0"/>
          <w:szCs w:val="24"/>
          <w:lang w:val="it-IT" w:bidi="ar-SA"/>
        </w:rPr>
        <w:t xml:space="preserve">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resources</w:t>
      </w:r>
      <w:proofErr w:type="spellEnd"/>
      <w:r w:rsidRPr="00F3216F">
        <w:rPr>
          <w:rFonts w:ascii="Garamond" w:hAnsi="Garamond" w:cs="Garamond"/>
          <w:i/>
          <w:iCs/>
          <w:kern w:val="0"/>
          <w:szCs w:val="24"/>
          <w:lang w:val="it-IT" w:bidi="ar-SA"/>
        </w:rPr>
        <w:t xml:space="preserve">/templates/file.html </w:t>
      </w:r>
    </w:p>
    <w:p w14:paraId="5874CA1F" w14:textId="77777777"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di stile CSS e JS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resources</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static</w:t>
      </w:r>
      <w:proofErr w:type="spellEnd"/>
      <w:r w:rsidRPr="00F3216F">
        <w:rPr>
          <w:rFonts w:ascii="Garamond" w:hAnsi="Garamond" w:cs="Garamond"/>
          <w:i/>
          <w:iCs/>
          <w:kern w:val="0"/>
          <w:szCs w:val="24"/>
          <w:lang w:val="it-IT" w:bidi="ar-SA"/>
        </w:rPr>
        <w:t xml:space="preserve">/file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r w:rsidRPr="00F3216F">
        <w:rPr>
          <w:rFonts w:ascii="Garamond" w:hAnsi="Garamond" w:cs="Garamond"/>
          <w:b/>
          <w:bCs/>
          <w:kern w:val="0"/>
          <w:szCs w:val="24"/>
          <w:lang w:val="en-GB" w:bidi="ar-SA"/>
        </w:rPr>
        <w:t xml:space="preserve">Package: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AB7DBD"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AB7DBD"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AB7DBD"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AB7DBD"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AB7DBD"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AB7DBD"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AB7DBD"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lastRenderedPageBreak/>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672710E7" w:rsidR="004B0578" w:rsidRDefault="004B0578" w:rsidP="004B0578">
      <w:pPr>
        <w:rPr>
          <w:rFonts w:ascii="Century Gothic" w:hAnsi="Century Gothic" w:cs="Garamond"/>
          <w:kern w:val="0"/>
          <w:sz w:val="22"/>
          <w:szCs w:val="22"/>
          <w:lang w:val="it-IT" w:bidi="ar-SA"/>
        </w:rPr>
      </w:pPr>
    </w:p>
    <w:p w14:paraId="60C05FE2" w14:textId="5C002605" w:rsidR="00EB3F4B" w:rsidRPr="00EB3F4B" w:rsidRDefault="00EB3F4B" w:rsidP="004B0578">
      <w:pPr>
        <w:rPr>
          <w:rFonts w:ascii="Century Gothic" w:hAnsi="Century Gothic" w:cs="Garamond"/>
          <w:b/>
          <w:bCs/>
          <w:color w:val="FF0000"/>
          <w:kern w:val="0"/>
          <w:sz w:val="22"/>
          <w:szCs w:val="22"/>
          <w:lang w:val="it-IT" w:bidi="ar-SA"/>
        </w:rPr>
      </w:pPr>
      <w:r w:rsidRPr="00EB3F4B">
        <w:rPr>
          <w:rFonts w:ascii="Century Gothic" w:hAnsi="Century Gothic" w:cs="Garamond"/>
          <w:b/>
          <w:bCs/>
          <w:color w:val="FF0000"/>
          <w:kern w:val="0"/>
          <w:sz w:val="22"/>
          <w:szCs w:val="22"/>
          <w:lang w:val="it-IT" w:bidi="ar-SA"/>
        </w:rPr>
        <w:t>SECONDO ME A SITO CREATO VANNO RAPPRESENTATI ANCHE I PACKAGE DI MODEL E UTILS NEL DETTAGLIO</w:t>
      </w:r>
    </w:p>
    <w:p w14:paraId="5457E03F" w14:textId="3811AF99" w:rsidR="00593584" w:rsidRDefault="00593584" w:rsidP="004B0578">
      <w:pPr>
        <w:rPr>
          <w:rFonts w:ascii="Century Gothic" w:hAnsi="Century Gothic" w:cs="Garamond"/>
          <w:b/>
          <w:bCs/>
          <w:kern w:val="0"/>
          <w:sz w:val="22"/>
          <w:szCs w:val="22"/>
          <w:lang w:val="it-IT" w:bidi="ar-SA"/>
        </w:rPr>
      </w:pPr>
    </w:p>
    <w:p w14:paraId="198A60F1" w14:textId="2278A15A" w:rsidR="00563E9C" w:rsidRDefault="00563E9C" w:rsidP="004B0578">
      <w:pPr>
        <w:rPr>
          <w:rFonts w:ascii="Century Gothic" w:hAnsi="Century Gothic" w:cs="Garamond"/>
          <w:b/>
          <w:bCs/>
          <w:kern w:val="0"/>
          <w:sz w:val="22"/>
          <w:szCs w:val="22"/>
          <w:lang w:val="it-IT" w:bidi="ar-SA"/>
        </w:rPr>
      </w:pPr>
    </w:p>
    <w:p w14:paraId="08D2C5FA" w14:textId="1901B7DA" w:rsidR="00563E9C" w:rsidRDefault="00563E9C" w:rsidP="004B0578">
      <w:pPr>
        <w:rPr>
          <w:rFonts w:ascii="Century Gothic" w:hAnsi="Century Gothic" w:cs="Garamond"/>
          <w:b/>
          <w:bCs/>
          <w:kern w:val="0"/>
          <w:sz w:val="22"/>
          <w:szCs w:val="22"/>
          <w:lang w:val="it-IT" w:bidi="ar-SA"/>
        </w:rPr>
      </w:pPr>
    </w:p>
    <w:p w14:paraId="71F6EA3A" w14:textId="2884B094" w:rsidR="00563E9C" w:rsidRDefault="00563E9C" w:rsidP="004B0578">
      <w:pPr>
        <w:rPr>
          <w:rFonts w:ascii="Century Gothic" w:hAnsi="Century Gothic" w:cs="Garamond"/>
          <w:b/>
          <w:bCs/>
          <w:kern w:val="0"/>
          <w:sz w:val="22"/>
          <w:szCs w:val="22"/>
          <w:lang w:val="it-IT" w:bidi="ar-SA"/>
        </w:rPr>
      </w:pPr>
    </w:p>
    <w:p w14:paraId="0576DAD6" w14:textId="3BB5F8A4" w:rsidR="00563E9C" w:rsidRDefault="00563E9C" w:rsidP="004B0578">
      <w:pPr>
        <w:rPr>
          <w:rFonts w:ascii="Century Gothic" w:hAnsi="Century Gothic" w:cs="Garamond"/>
          <w:b/>
          <w:bCs/>
          <w:kern w:val="0"/>
          <w:sz w:val="22"/>
          <w:szCs w:val="22"/>
          <w:lang w:val="it-IT" w:bidi="ar-SA"/>
        </w:rPr>
      </w:pPr>
    </w:p>
    <w:p w14:paraId="4F108E8F" w14:textId="4939DBC4" w:rsidR="00563E9C" w:rsidRDefault="00563E9C" w:rsidP="004B0578">
      <w:pPr>
        <w:rPr>
          <w:rFonts w:ascii="Century Gothic" w:hAnsi="Century Gothic" w:cs="Garamond"/>
          <w:b/>
          <w:bCs/>
          <w:kern w:val="0"/>
          <w:sz w:val="22"/>
          <w:szCs w:val="22"/>
          <w:lang w:val="it-IT" w:bidi="ar-SA"/>
        </w:rPr>
      </w:pPr>
    </w:p>
    <w:p w14:paraId="4BB0C38C" w14:textId="574AA76D" w:rsidR="00563E9C" w:rsidRDefault="00563E9C" w:rsidP="004B0578">
      <w:pPr>
        <w:rPr>
          <w:rFonts w:ascii="Century Gothic" w:hAnsi="Century Gothic" w:cs="Garamond"/>
          <w:b/>
          <w:bCs/>
          <w:kern w:val="0"/>
          <w:sz w:val="22"/>
          <w:szCs w:val="22"/>
          <w:lang w:val="it-IT" w:bidi="ar-SA"/>
        </w:rPr>
      </w:pPr>
    </w:p>
    <w:p w14:paraId="6605EB12" w14:textId="0C17EFA7" w:rsidR="00563E9C" w:rsidRDefault="00563E9C" w:rsidP="004B0578">
      <w:pPr>
        <w:rPr>
          <w:rFonts w:ascii="Century Gothic" w:hAnsi="Century Gothic" w:cs="Garamond"/>
          <w:b/>
          <w:bCs/>
          <w:kern w:val="0"/>
          <w:sz w:val="22"/>
          <w:szCs w:val="22"/>
          <w:lang w:val="it-IT" w:bidi="ar-SA"/>
        </w:rPr>
      </w:pPr>
    </w:p>
    <w:p w14:paraId="0D51928B" w14:textId="0D6F8CCE" w:rsidR="00563E9C" w:rsidRDefault="00563E9C" w:rsidP="004B0578">
      <w:pPr>
        <w:rPr>
          <w:rFonts w:ascii="Century Gothic" w:hAnsi="Century Gothic" w:cs="Garamond"/>
          <w:b/>
          <w:bCs/>
          <w:kern w:val="0"/>
          <w:sz w:val="22"/>
          <w:szCs w:val="22"/>
          <w:lang w:val="it-IT" w:bidi="ar-SA"/>
        </w:rPr>
      </w:pPr>
    </w:p>
    <w:p w14:paraId="0B79780E" w14:textId="4DFF73EC" w:rsidR="00563E9C" w:rsidRDefault="00563E9C" w:rsidP="004B0578">
      <w:pPr>
        <w:rPr>
          <w:rFonts w:ascii="Century Gothic" w:hAnsi="Century Gothic" w:cs="Garamond"/>
          <w:b/>
          <w:bCs/>
          <w:kern w:val="0"/>
          <w:sz w:val="22"/>
          <w:szCs w:val="22"/>
          <w:lang w:val="it-IT" w:bidi="ar-SA"/>
        </w:rPr>
      </w:pPr>
    </w:p>
    <w:p w14:paraId="5C0EFF79" w14:textId="466B9D86" w:rsidR="00563E9C" w:rsidRDefault="00563E9C" w:rsidP="004B0578">
      <w:pPr>
        <w:rPr>
          <w:rFonts w:ascii="Century Gothic" w:hAnsi="Century Gothic" w:cs="Garamond"/>
          <w:b/>
          <w:bCs/>
          <w:kern w:val="0"/>
          <w:sz w:val="22"/>
          <w:szCs w:val="22"/>
          <w:lang w:val="it-IT" w:bidi="ar-SA"/>
        </w:rPr>
      </w:pPr>
    </w:p>
    <w:p w14:paraId="2986EBFB" w14:textId="3817CEE8" w:rsidR="00563E9C" w:rsidRDefault="00563E9C" w:rsidP="004B0578">
      <w:pPr>
        <w:rPr>
          <w:rFonts w:ascii="Century Gothic" w:hAnsi="Century Gothic" w:cs="Garamond"/>
          <w:b/>
          <w:bCs/>
          <w:kern w:val="0"/>
          <w:sz w:val="22"/>
          <w:szCs w:val="22"/>
          <w:lang w:val="it-IT" w:bidi="ar-SA"/>
        </w:rPr>
      </w:pPr>
    </w:p>
    <w:p w14:paraId="04696224" w14:textId="59E6B9F8" w:rsidR="00563E9C" w:rsidRDefault="00563E9C" w:rsidP="004B0578">
      <w:pPr>
        <w:rPr>
          <w:rFonts w:ascii="Century Gothic" w:hAnsi="Century Gothic" w:cs="Garamond"/>
          <w:b/>
          <w:bCs/>
          <w:kern w:val="0"/>
          <w:sz w:val="22"/>
          <w:szCs w:val="22"/>
          <w:lang w:val="it-IT" w:bidi="ar-SA"/>
        </w:rPr>
      </w:pPr>
    </w:p>
    <w:p w14:paraId="03795675" w14:textId="60F6878A" w:rsidR="00563E9C" w:rsidRDefault="00563E9C" w:rsidP="004B0578">
      <w:pPr>
        <w:rPr>
          <w:rFonts w:ascii="Century Gothic" w:hAnsi="Century Gothic" w:cs="Garamond"/>
          <w:b/>
          <w:bCs/>
          <w:kern w:val="0"/>
          <w:sz w:val="22"/>
          <w:szCs w:val="22"/>
          <w:lang w:val="it-IT" w:bidi="ar-SA"/>
        </w:rPr>
      </w:pPr>
    </w:p>
    <w:p w14:paraId="6CBAAC72" w14:textId="50768028" w:rsidR="00563E9C" w:rsidRDefault="00563E9C" w:rsidP="004B0578">
      <w:pPr>
        <w:rPr>
          <w:rFonts w:ascii="Century Gothic" w:hAnsi="Century Gothic" w:cs="Garamond"/>
          <w:b/>
          <w:bCs/>
          <w:kern w:val="0"/>
          <w:sz w:val="22"/>
          <w:szCs w:val="22"/>
          <w:lang w:val="it-IT" w:bidi="ar-SA"/>
        </w:rPr>
      </w:pPr>
    </w:p>
    <w:p w14:paraId="6D1F6A5A" w14:textId="693FE725" w:rsidR="00563E9C" w:rsidRDefault="00563E9C" w:rsidP="004B0578">
      <w:pPr>
        <w:rPr>
          <w:rFonts w:ascii="Century Gothic" w:hAnsi="Century Gothic" w:cs="Garamond"/>
          <w:b/>
          <w:bCs/>
          <w:kern w:val="0"/>
          <w:sz w:val="22"/>
          <w:szCs w:val="22"/>
          <w:lang w:val="it-IT" w:bidi="ar-SA"/>
        </w:rPr>
      </w:pPr>
    </w:p>
    <w:p w14:paraId="5393585F" w14:textId="56B21DDC" w:rsidR="00563E9C" w:rsidRDefault="00563E9C" w:rsidP="004B0578">
      <w:pPr>
        <w:rPr>
          <w:rFonts w:ascii="Century Gothic" w:hAnsi="Century Gothic" w:cs="Garamond"/>
          <w:b/>
          <w:bCs/>
          <w:kern w:val="0"/>
          <w:sz w:val="22"/>
          <w:szCs w:val="22"/>
          <w:lang w:val="it-IT" w:bidi="ar-SA"/>
        </w:rPr>
      </w:pPr>
    </w:p>
    <w:p w14:paraId="0A30699A" w14:textId="7E4FE2E7" w:rsidR="00563E9C" w:rsidRDefault="00563E9C" w:rsidP="004B0578">
      <w:pPr>
        <w:rPr>
          <w:rFonts w:ascii="Century Gothic" w:hAnsi="Century Gothic" w:cs="Garamond"/>
          <w:b/>
          <w:bCs/>
          <w:kern w:val="0"/>
          <w:sz w:val="22"/>
          <w:szCs w:val="22"/>
          <w:lang w:val="it-IT" w:bidi="ar-SA"/>
        </w:rPr>
      </w:pPr>
    </w:p>
    <w:p w14:paraId="59C0AD54" w14:textId="77777777" w:rsidR="00563E9C" w:rsidRPr="00EB3F4B" w:rsidRDefault="00563E9C"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3FA076B4" w14:textId="09F6A518" w:rsidR="00EB3F4B" w:rsidRDefault="00EB3F4B" w:rsidP="004B0578">
      <w:pPr>
        <w:rPr>
          <w:rFonts w:ascii="Century Gothic" w:hAnsi="Century Gothic" w:cs="Garamond"/>
          <w:kern w:val="0"/>
          <w:sz w:val="22"/>
          <w:szCs w:val="22"/>
          <w:lang w:val="it-IT" w:bidi="ar-SA"/>
        </w:rPr>
      </w:pPr>
    </w:p>
    <w:p w14:paraId="56284B0E" w14:textId="62D440E9" w:rsidR="00EB3F4B" w:rsidRDefault="00EB3F4B" w:rsidP="004B0578">
      <w:pPr>
        <w:rPr>
          <w:rFonts w:ascii="Century Gothic" w:hAnsi="Century Gothic" w:cs="Garamond"/>
          <w:kern w:val="0"/>
          <w:sz w:val="22"/>
          <w:szCs w:val="22"/>
          <w:lang w:val="it-IT" w:bidi="ar-SA"/>
        </w:rPr>
      </w:pPr>
    </w:p>
    <w:p w14:paraId="03CB08E9" w14:textId="77777777" w:rsidR="00EB3F4B" w:rsidRDefault="00EB3F4B"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65C15346" w14:textId="418F3A29" w:rsidR="00F3216F" w:rsidRDefault="00F3216F" w:rsidP="004B0578">
      <w:pPr>
        <w:rPr>
          <w:rFonts w:ascii="Century Gothic" w:hAnsi="Century Gothic" w:cs="Garamond"/>
          <w:b/>
          <w:bCs/>
          <w:color w:val="FF0000"/>
          <w:kern w:val="0"/>
          <w:lang w:val="it-IT" w:bidi="ar-SA"/>
        </w:rPr>
      </w:pPr>
      <w:r w:rsidRPr="00861276">
        <w:rPr>
          <w:rFonts w:ascii="Century Gothic" w:hAnsi="Century Gothic" w:cs="Garamond"/>
          <w:b/>
          <w:bCs/>
          <w:color w:val="FF0000"/>
          <w:kern w:val="0"/>
          <w:lang w:val="it-IT" w:bidi="ar-SA"/>
        </w:rPr>
        <w:t>Package Gestione Eventi</w:t>
      </w:r>
    </w:p>
    <w:p w14:paraId="2EB70DCB" w14:textId="3F98FB10" w:rsidR="00EB3F4B" w:rsidRDefault="00EB3F4B" w:rsidP="004B0578">
      <w:pPr>
        <w:rPr>
          <w:rFonts w:ascii="Century Gothic" w:hAnsi="Century Gothic" w:cs="Garamond"/>
          <w:b/>
          <w:bCs/>
          <w:color w:val="FF0000"/>
          <w:kern w:val="0"/>
          <w:lang w:val="it-IT" w:bidi="ar-SA"/>
        </w:rPr>
      </w:pPr>
    </w:p>
    <w:p w14:paraId="6AE4783D" w14:textId="6E8D10E7" w:rsidR="00EB3F4B" w:rsidRDefault="00EB3F4B" w:rsidP="004B0578">
      <w:pPr>
        <w:rPr>
          <w:rFonts w:ascii="Century Gothic" w:hAnsi="Century Gothic" w:cs="Garamond"/>
          <w:color w:val="FF0000"/>
          <w:kern w:val="0"/>
          <w:lang w:val="it-IT" w:bidi="ar-SA"/>
        </w:rPr>
      </w:pPr>
      <w:r>
        <w:rPr>
          <w:rFonts w:ascii="Century Gothic" w:hAnsi="Century Gothic" w:cs="Garamond"/>
          <w:b/>
          <w:bCs/>
          <w:color w:val="FF0000"/>
          <w:kern w:val="0"/>
          <w:lang w:val="it-IT" w:bidi="ar-SA"/>
        </w:rPr>
        <w:t xml:space="preserve">&lt;&lt;LE INTERFACE PENSO DIPENDANO DAL TIPO DI DESIGN PATTERN SCELTI&gt;&gt; </w:t>
      </w:r>
    </w:p>
    <w:p w14:paraId="34CE4DD4" w14:textId="698C84AC" w:rsidR="00EB3F4B" w:rsidRDefault="00EB3F4B" w:rsidP="004B0578">
      <w:pPr>
        <w:rPr>
          <w:rFonts w:ascii="Century Gothic" w:hAnsi="Century Gothic" w:cs="Garamond"/>
          <w:color w:val="FF0000"/>
          <w:kern w:val="0"/>
          <w:lang w:val="it-IT" w:bidi="ar-SA"/>
        </w:rPr>
      </w:pPr>
    </w:p>
    <w:p w14:paraId="4ECA9F56" w14:textId="77777777" w:rsidR="00EB3F4B" w:rsidRPr="00EB3F4B" w:rsidRDefault="00EB3F4B" w:rsidP="004B0578">
      <w:pPr>
        <w:rPr>
          <w:rFonts w:ascii="Century Gothic" w:hAnsi="Century Gothic" w:cs="Garamond"/>
          <w:kern w:val="0"/>
          <w:lang w:val="it-IT" w:bidi="ar-SA"/>
        </w:rPr>
      </w:pPr>
    </w:p>
    <w:p w14:paraId="54895611" w14:textId="4B9A399F" w:rsidR="00F3216F" w:rsidRDefault="0036131A" w:rsidP="004B0578">
      <w:pP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225A02D2" wp14:editId="4A6624AF">
            <wp:extent cx="6324600" cy="22682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268220"/>
                    </a:xfrm>
                    <a:prstGeom prst="rect">
                      <a:avLst/>
                    </a:prstGeom>
                    <a:noFill/>
                    <a:ln>
                      <a:noFill/>
                    </a:ln>
                  </pic:spPr>
                </pic:pic>
              </a:graphicData>
            </a:graphic>
          </wp:inline>
        </w:drawing>
      </w: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9579BAA" w14:textId="7205DB77"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4FE9FB2D" w:rsidR="00563E9C" w:rsidRDefault="00563E9C" w:rsidP="00591EBE">
      <w:pPr>
        <w:rPr>
          <w:rFonts w:ascii="Century Gothic" w:hAnsi="Century Gothic" w:cs="Garamond"/>
          <w:kern w:val="0"/>
          <w:sz w:val="22"/>
          <w:szCs w:val="22"/>
          <w:lang w:val="it-IT" w:bidi="ar-SA"/>
        </w:rPr>
      </w:pPr>
    </w:p>
    <w:p w14:paraId="4D40C075" w14:textId="2ECDAF36" w:rsidR="00563E9C" w:rsidRDefault="00563E9C" w:rsidP="00591EBE">
      <w:pPr>
        <w:rPr>
          <w:rFonts w:ascii="Century Gothic" w:hAnsi="Century Gothic" w:cs="Garamond"/>
          <w:kern w:val="0"/>
          <w:sz w:val="22"/>
          <w:szCs w:val="22"/>
          <w:lang w:val="it-IT" w:bidi="ar-SA"/>
        </w:rPr>
      </w:pPr>
    </w:p>
    <w:p w14:paraId="23C783A2" w14:textId="77777777" w:rsidR="00563E9C" w:rsidRPr="00963BDB" w:rsidRDefault="00563E9C" w:rsidP="00591EBE">
      <w:pPr>
        <w:rPr>
          <w:rFonts w:ascii="Century Gothic" w:hAnsi="Century Gothic" w:cs="Garamond"/>
          <w:kern w:val="0"/>
          <w:sz w:val="22"/>
          <w:szCs w:val="22"/>
          <w:lang w:val="it-IT" w:bidi="ar-SA"/>
        </w:rPr>
      </w:pPr>
    </w:p>
    <w:p w14:paraId="48469BF2" w14:textId="75CF5A17" w:rsidR="0054702C" w:rsidRDefault="00C37989" w:rsidP="00FE0526">
      <w:pPr>
        <w:pStyle w:val="GpsTitolo"/>
        <w:numPr>
          <w:ilvl w:val="0"/>
          <w:numId w:val="2"/>
        </w:numPr>
      </w:pPr>
      <w:bookmarkStart w:id="9" w:name="_Toc104628770"/>
      <w:r>
        <w:lastRenderedPageBreak/>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AB7DBD"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AB7DBD"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AB7DBD"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AB7DBD"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lastRenderedPageBreak/>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AB7DBD"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E1DEE"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51546E" w:rsidRDefault="006131A5" w:rsidP="006131A5">
            <w:pPr>
              <w:suppressAutoHyphens w:val="0"/>
              <w:overflowPunct/>
              <w:rPr>
                <w:rFonts w:ascii="Century Gothic" w:eastAsia="Times New Roman" w:hAnsi="Century Gothic" w:cs="Segoe UI"/>
                <w:color w:val="auto"/>
                <w:kern w:val="0"/>
                <w:sz w:val="22"/>
                <w:szCs w:val="22"/>
                <w:lang w:val="en-GB" w:eastAsia="it-IT" w:bidi="ar-SA"/>
              </w:rPr>
            </w:pPr>
            <w:r w:rsidRPr="0051546E">
              <w:rPr>
                <w:rFonts w:ascii="Century Gothic" w:eastAsia="Times New Roman" w:hAnsi="Century Gothic" w:cs="Segoe UI"/>
                <w:color w:val="auto"/>
                <w:kern w:val="0"/>
                <w:sz w:val="22"/>
                <w:szCs w:val="22"/>
                <w:lang w:val="en-GB" w:eastAsia="it-IT" w:bidi="ar-SA"/>
              </w:rPr>
              <w:t>+</w:t>
            </w:r>
            <w:proofErr w:type="gramStart"/>
            <w:r w:rsidRPr="0051546E">
              <w:rPr>
                <w:rFonts w:ascii="Century Gothic" w:eastAsia="Times New Roman" w:hAnsi="Century Gothic" w:cs="Segoe UI"/>
                <w:color w:val="auto"/>
                <w:kern w:val="0"/>
                <w:sz w:val="22"/>
                <w:szCs w:val="22"/>
                <w:lang w:val="en-GB" w:eastAsia="it-IT" w:bidi="ar-SA"/>
              </w:rPr>
              <w:t>login(</w:t>
            </w:r>
            <w:proofErr w:type="gramEnd"/>
            <w:r w:rsidRPr="0051546E">
              <w:rPr>
                <w:rFonts w:ascii="Century Gothic" w:eastAsia="Times New Roman" w:hAnsi="Century Gothic" w:cs="Segoe UI"/>
                <w:color w:val="auto"/>
                <w:kern w:val="0"/>
                <w:sz w:val="22"/>
                <w:szCs w:val="22"/>
                <w:lang w:val="en-GB" w:eastAsia="it-IT" w:bidi="ar-SA"/>
              </w:rPr>
              <w:t xml:space="preserve">String email, String password): </w:t>
            </w:r>
            <w:proofErr w:type="spellStart"/>
            <w:r w:rsidRPr="0051546E">
              <w:rPr>
                <w:rFonts w:ascii="Century Gothic" w:eastAsia="Times New Roman" w:hAnsi="Century Gothic" w:cs="Segoe UI"/>
                <w:color w:val="auto"/>
                <w:kern w:val="0"/>
                <w:sz w:val="22"/>
                <w:szCs w:val="22"/>
                <w:lang w:val="en-GB"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AB7DBD"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AB7DBD"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End"/>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AB7DBD"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AB7DBD"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AB7DBD"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7FB775FC" w14:textId="77777777" w:rsidR="00E649D3" w:rsidRDefault="00D97098" w:rsidP="00176D27">
      <w:pPr>
        <w:rPr>
          <w:rFonts w:ascii="Century Gothic" w:hAnsi="Century Gothic" w:cs="Garamond"/>
          <w:b/>
          <w:bCs/>
          <w:color w:val="FF0000"/>
          <w:kern w:val="0"/>
          <w:lang w:val="it-IT" w:bidi="ar-SA"/>
        </w:rPr>
      </w:pPr>
      <w:r w:rsidRPr="00D97098">
        <w:rPr>
          <w:rFonts w:ascii="Century Gothic" w:hAnsi="Century Gothic" w:cs="Garamond"/>
          <w:b/>
          <w:bCs/>
          <w:color w:val="FF0000"/>
          <w:kern w:val="0"/>
          <w:lang w:val="it-IT" w:bidi="ar-SA"/>
        </w:rPr>
        <w:t>Package Gestione Eventi</w:t>
      </w:r>
      <w:r w:rsidR="00E649D3">
        <w:rPr>
          <w:rFonts w:ascii="Century Gothic" w:hAnsi="Century Gothic" w:cs="Garamond"/>
          <w:b/>
          <w:bCs/>
          <w:color w:val="FF0000"/>
          <w:kern w:val="0"/>
          <w:lang w:val="it-IT" w:bidi="ar-SA"/>
        </w:rPr>
        <w:t xml:space="preserve"> </w:t>
      </w:r>
    </w:p>
    <w:p w14:paraId="13A76395" w14:textId="1926C746" w:rsidR="00D97098" w:rsidRPr="00D97098" w:rsidRDefault="00E649D3" w:rsidP="00176D27">
      <w:pPr>
        <w:rPr>
          <w:rFonts w:ascii="Century Gothic" w:hAnsi="Century Gothic" w:cs="Garamond"/>
          <w:b/>
          <w:bCs/>
          <w:color w:val="FF0000"/>
          <w:kern w:val="0"/>
          <w:lang w:val="it-IT" w:bidi="ar-SA"/>
        </w:rPr>
      </w:pPr>
      <w:r>
        <w:rPr>
          <w:rFonts w:ascii="Century Gothic" w:hAnsi="Century Gothic" w:cs="Garamond"/>
          <w:b/>
          <w:bCs/>
          <w:color w:val="FF0000"/>
          <w:kern w:val="0"/>
          <w:lang w:val="it-IT" w:bidi="ar-SA"/>
        </w:rPr>
        <w:t>(conviene secondo me sempre farli dopo design pattern ed implementazione, ma…)</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AB7DBD"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AB7DBD"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w:t>
            </w:r>
            <w:proofErr w:type="gramEnd"/>
            <w:r w:rsidR="00564C27" w:rsidRPr="00564C27">
              <w:rPr>
                <w:rFonts w:ascii="Century Gothic" w:eastAsia="Times New Roman" w:hAnsi="Century Gothic" w:cs="Segoe UI"/>
                <w:color w:val="auto"/>
                <w:kern w:val="0"/>
                <w:sz w:val="22"/>
                <w:szCs w:val="22"/>
                <w:lang w:val="it-IT" w:eastAsia="it-IT" w:bidi="ar-SA"/>
              </w:rPr>
              <w:t xml:space="preserve">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w:t>
            </w:r>
            <w:proofErr w:type="gramEnd"/>
            <w:r w:rsidR="00564C27">
              <w:rPr>
                <w:rFonts w:ascii="Century Gothic" w:eastAsia="Times New Roman" w:hAnsi="Century Gothic" w:cs="Segoe UI"/>
                <w:color w:val="auto"/>
                <w:kern w:val="0"/>
                <w:sz w:val="22"/>
                <w:szCs w:val="22"/>
                <w:lang w:val="it-IT" w:eastAsia="it-IT" w:bidi="ar-SA"/>
              </w:rPr>
              <w:t xml:space="preserve">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proofErr w:type="gram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proofErr w:type="gramEnd"/>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w:t>
            </w:r>
            <w:proofErr w:type="gramEnd"/>
            <w:r w:rsidR="00AB3ACB">
              <w:rPr>
                <w:rFonts w:ascii="Century Gothic" w:eastAsia="Times New Roman" w:hAnsi="Century Gothic" w:cs="Segoe UI"/>
                <w:color w:val="auto"/>
                <w:kern w:val="0"/>
                <w:sz w:val="22"/>
                <w:szCs w:val="22"/>
                <w:lang w:val="it-IT" w:eastAsia="it-IT" w:bidi="ar-SA"/>
              </w:rPr>
              <w:t>: List&lt;Evento&gt;</w:t>
            </w:r>
          </w:p>
          <w:p w14:paraId="24E636A1" w14:textId="46F2CD6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 xml:space="preserve">): List&lt;Evento&gt; </w:t>
            </w:r>
            <w:r w:rsidR="00AB3ACB">
              <w:rPr>
                <w:rFonts w:ascii="Century Gothic" w:eastAsia="Times New Roman" w:hAnsi="Century Gothic" w:cs="Segoe UI"/>
                <w:color w:val="FF0000"/>
                <w:kern w:val="0"/>
                <w:sz w:val="22"/>
                <w:szCs w:val="22"/>
                <w:lang w:val="it-IT" w:eastAsia="it-IT" w:bidi="ar-SA"/>
              </w:rPr>
              <w:t>FLAG IN EVENTO PER LE MODIFICHE / ATTIVO OP MENO</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proofErr w:type="gram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proofErr w:type="gram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w:t>
            </w:r>
            <w:proofErr w:type="gramEnd"/>
            <w:r w:rsidRPr="00AB3ACB">
              <w:rPr>
                <w:rFonts w:ascii="Century Gothic" w:eastAsia="Times New Roman" w:hAnsi="Century Gothic" w:cs="Segoe UI"/>
                <w:b/>
                <w:bCs/>
                <w:color w:val="FFFFFF" w:themeColor="background1"/>
                <w:kern w:val="0"/>
                <w:lang w:val="it-IT" w:eastAsia="it-IT" w:bidi="ar-SA"/>
              </w:rPr>
              <w:t xml:space="preserve"> : List&lt;Evento&gt;</w:t>
            </w:r>
          </w:p>
        </w:tc>
      </w:tr>
      <w:tr w:rsidR="00E649D3" w:rsidRPr="00AB7DBD"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proofErr w:type="gram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w:t>
            </w:r>
            <w:proofErr w:type="gramEnd"/>
            <w:r w:rsidRPr="00D75CF0">
              <w:rPr>
                <w:rFonts w:ascii="Century Gothic" w:eastAsia="Times New Roman" w:hAnsi="Century Gothic" w:cs="Segoe UI"/>
                <w:b/>
                <w:bCs/>
                <w:color w:val="FFFFFF" w:themeColor="background1"/>
                <w:kern w:val="0"/>
                <w:lang w:val="it-IT" w:eastAsia="it-IT" w:bidi="ar-SA"/>
              </w:rPr>
              <w:t xml:space="preserve"> : List&lt;Evento&gt;</w:t>
            </w:r>
          </w:p>
        </w:tc>
      </w:tr>
      <w:tr w:rsidR="00E649D3" w:rsidRPr="00AB7DBD"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AB7DBD"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proofErr w:type="gram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AB7DBD"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proofErr w:type="gramEnd"/>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AB7DBD"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w:t>
            </w:r>
            <w:proofErr w:type="gramEnd"/>
            <w:r w:rsidRPr="00790A88">
              <w:rPr>
                <w:rFonts w:ascii="Century Gothic" w:eastAsia="Times New Roman" w:hAnsi="Century Gothic" w:cs="Segoe UI"/>
                <w:b/>
                <w:bCs/>
                <w:color w:val="FF0000"/>
                <w:kern w:val="0"/>
                <w:lang w:val="it-IT" w:eastAsia="it-IT" w:bidi="ar-SA"/>
              </w:rPr>
              <w:t>: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proofErr w:type="gram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w:t>
            </w:r>
            <w:proofErr w:type="gram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AB7DBD"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AB7DBD"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proofErr w:type="gram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lastRenderedPageBreak/>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AB7DBD"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AB7DBD"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AB7DBD"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proofErr w:type="gram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w:t>
            </w:r>
            <w:proofErr w:type="gram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AB7DBD"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gramStart"/>
            <w:r w:rsidR="00A02FE0">
              <w:rPr>
                <w:rFonts w:ascii="Century Gothic" w:eastAsia="Times New Roman" w:hAnsi="Century Gothic" w:cs="Segoe UI"/>
                <w:color w:val="auto"/>
                <w:kern w:val="0"/>
                <w:sz w:val="22"/>
                <w:szCs w:val="22"/>
                <w:lang w:val="it-IT" w:eastAsia="it-IT" w:bidi="ar-SA"/>
              </w:rPr>
              <w:t>).</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proofErr w:type="gram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AB7DBD"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proofErr w:type="gram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AB7DBD"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proofErr w:type="gramEnd"/>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AB7DBD"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AB7DBD"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6D5B8953">
            <wp:extent cx="5643767" cy="23164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661267" cy="2323663"/>
                    </a:xfrm>
                    <a:prstGeom prst="rect">
                      <a:avLst/>
                    </a:prstGeom>
                  </pic:spPr>
                </pic:pic>
              </a:graphicData>
            </a:graphic>
          </wp:inline>
        </w:drawing>
      </w:r>
    </w:p>
    <w:p w14:paraId="5F35CCC0" w14:textId="7333DA4F" w:rsidR="00A60CD1" w:rsidRDefault="00C144AB" w:rsidP="00D97098">
      <w:pPr>
        <w:pStyle w:val="Default"/>
      </w:pPr>
      <w:r>
        <w:rPr>
          <w:noProof/>
        </w:rPr>
        <w:drawing>
          <wp:inline distT="0" distB="0" distL="0" distR="0" wp14:anchorId="56ED052F" wp14:editId="14653CBD">
            <wp:extent cx="5615940" cy="314362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624805" cy="3148583"/>
                    </a:xfrm>
                    <a:prstGeom prst="rect">
                      <a:avLst/>
                    </a:prstGeom>
                  </pic:spPr>
                </pic:pic>
              </a:graphicData>
            </a:graphic>
          </wp:inline>
        </w:drawing>
      </w:r>
    </w:p>
    <w:p w14:paraId="274AF652" w14:textId="01D877BE" w:rsidR="00291548" w:rsidRDefault="00291548" w:rsidP="00D97098">
      <w:pPr>
        <w:pStyle w:val="Default"/>
      </w:pPr>
    </w:p>
    <w:p w14:paraId="6876603B" w14:textId="0CCFA1AC" w:rsidR="00291548" w:rsidRDefault="00D237FD" w:rsidP="00D97098">
      <w:pPr>
        <w:pStyle w:val="Default"/>
      </w:pPr>
      <w:r>
        <w:rPr>
          <w:noProof/>
        </w:rPr>
        <w:lastRenderedPageBreak/>
        <w:drawing>
          <wp:inline distT="0" distB="0" distL="0" distR="0" wp14:anchorId="2F99838F" wp14:editId="57A7E26E">
            <wp:extent cx="5434834" cy="356250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644" cy="3580076"/>
                    </a:xfrm>
                    <a:prstGeom prst="rect">
                      <a:avLst/>
                    </a:prstGeom>
                    <a:noFill/>
                    <a:ln>
                      <a:noFill/>
                    </a:ln>
                  </pic:spPr>
                </pic:pic>
              </a:graphicData>
            </a:graphic>
          </wp:inline>
        </w:drawing>
      </w:r>
    </w:p>
    <w:p w14:paraId="1479FE75" w14:textId="2BC49EFD" w:rsidR="009F5532" w:rsidRDefault="009F5532" w:rsidP="00D97098">
      <w:pPr>
        <w:pStyle w:val="Default"/>
      </w:pPr>
      <w:r>
        <w:rPr>
          <w:noProof/>
        </w:rPr>
        <w:lastRenderedPageBreak/>
        <w:drawing>
          <wp:inline distT="0" distB="0" distL="0" distR="0" wp14:anchorId="7CC86163" wp14:editId="0EA5287A">
            <wp:extent cx="6332220" cy="753935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7539355"/>
                    </a:xfrm>
                    <a:prstGeom prst="rect">
                      <a:avLst/>
                    </a:prstGeom>
                    <a:noFill/>
                    <a:ln>
                      <a:noFill/>
                    </a:ln>
                  </pic:spPr>
                </pic:pic>
              </a:graphicData>
            </a:graphic>
          </wp:inline>
        </w:drawing>
      </w:r>
    </w:p>
    <w:p w14:paraId="60244B15" w14:textId="2394A8BD"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0D9DDE55" w:rsidR="001F0599" w:rsidRDefault="00167DC4" w:rsidP="00D97098">
      <w:pPr>
        <w:pStyle w:val="Default"/>
      </w:pPr>
      <w:r>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6E4F2720" w:rsidR="00E536D8" w:rsidRPr="00563E9C" w:rsidRDefault="00D237FD" w:rsidP="00BD263B">
      <w:pPr>
        <w:pStyle w:val="Default"/>
        <w:ind w:left="360"/>
        <w:rPr>
          <w:color w:val="FF0000"/>
        </w:rPr>
      </w:pPr>
      <w:r>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4973D2BB"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C706E4"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296115"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C706E4"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C706E4"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AB7DBD"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C706E4"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C706E4"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C706E4"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61030C" w:rsidRDefault="00AB7DBD" w:rsidP="00990657">
      <w:pPr>
        <w:pStyle w:val="GpsTitolo"/>
      </w:pPr>
    </w:p>
    <w:sectPr w:rsidR="00AB7DBD" w:rsidRPr="0061030C" w:rsidSect="00885255">
      <w:headerReference w:type="default" r:id="rId2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B50F" w14:textId="77777777" w:rsidR="007F1633" w:rsidRDefault="007F1633" w:rsidP="003036F1">
      <w:pPr>
        <w:rPr>
          <w:rFonts w:hint="eastAsia"/>
        </w:rPr>
      </w:pPr>
      <w:r>
        <w:separator/>
      </w:r>
    </w:p>
  </w:endnote>
  <w:endnote w:type="continuationSeparator" w:id="0">
    <w:p w14:paraId="63BD315F" w14:textId="77777777" w:rsidR="007F1633" w:rsidRDefault="007F1633"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5C34" w14:textId="77777777" w:rsidR="007F1633" w:rsidRDefault="007F1633" w:rsidP="003036F1">
      <w:pPr>
        <w:rPr>
          <w:rFonts w:hint="eastAsia"/>
        </w:rPr>
      </w:pPr>
      <w:r>
        <w:separator/>
      </w:r>
    </w:p>
  </w:footnote>
  <w:footnote w:type="continuationSeparator" w:id="0">
    <w:p w14:paraId="3C8B3498" w14:textId="77777777" w:rsidR="007F1633" w:rsidRDefault="007F1633"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3899"/>
    <w:rsid w:val="00105F17"/>
    <w:rsid w:val="00106354"/>
    <w:rsid w:val="00111E1A"/>
    <w:rsid w:val="00116B41"/>
    <w:rsid w:val="00121BC2"/>
    <w:rsid w:val="00126CD3"/>
    <w:rsid w:val="00127AB2"/>
    <w:rsid w:val="0013117A"/>
    <w:rsid w:val="001542A1"/>
    <w:rsid w:val="001576C7"/>
    <w:rsid w:val="00167DC4"/>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30963"/>
    <w:rsid w:val="00931A96"/>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B098A"/>
    <w:rsid w:val="00AB190B"/>
    <w:rsid w:val="00AB3ACB"/>
    <w:rsid w:val="00AB7DBD"/>
    <w:rsid w:val="00AC07B5"/>
    <w:rsid w:val="00AC0F5F"/>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D263B"/>
    <w:rsid w:val="00BE2B53"/>
    <w:rsid w:val="00BF590E"/>
    <w:rsid w:val="00BF659E"/>
    <w:rsid w:val="00C1104E"/>
    <w:rsid w:val="00C144AB"/>
    <w:rsid w:val="00C2222A"/>
    <w:rsid w:val="00C24BC4"/>
    <w:rsid w:val="00C3096F"/>
    <w:rsid w:val="00C37209"/>
    <w:rsid w:val="00C3798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22CF4"/>
    <w:rsid w:val="00D237FD"/>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2765</Words>
  <Characters>15764</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129</cp:revision>
  <dcterms:created xsi:type="dcterms:W3CDTF">2020-02-24T09:50:00Z</dcterms:created>
  <dcterms:modified xsi:type="dcterms:W3CDTF">2022-06-13T08:14:00Z</dcterms:modified>
  <dc:language>it-IT</dc:language>
</cp:coreProperties>
</file>