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F3A5F"/>
          <w:sz w:val="38"/>
          <w:szCs w:val="38"/>
        </w:rPr>
        <w:t xml:space="preserve">Nota Executiva</w:t>
      </w:r>
    </w:p>
    <w:p>
      <w:pPr>
        <w:spacing w:after="7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LogiDistrib – Logística e Distribuição</w:t>
      </w:r>
      <w:r>
        <w:rPr>
          <w:rFonts w:ascii="Calibri" w:cs="Calibri" w:eastAsia="Calibri" w:hAnsi="Calibri"/>
          <w:sz w:val="20"/>
          <w:szCs w:val="20"/>
        </w:rPr>
        <w:t xml:space="preserve"> · Trabalho Individual de Power BI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700"/>
        <w:gridCol w:w="2566"/>
      </w:tblGrid>
      <w:tr>
        <w:trPr>
          <w:cantSplit/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Estudante: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  <w:r>
              <w:rPr>
                <w:rFonts w:ascii="Calibri" w:cs="Calibri" w:eastAsia="Calibri" w:hAnsi="Calibri"/>
                <w:sz w:val="18"/>
                <w:szCs w:val="18"/>
                <w:shd w:fill="FFF200" w:color="auto" w:val="clear"/>
              </w:rPr>
              <w:t xml:space="preserve">[NOME]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do conjunto de dados: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  <w:r>
              <w:rPr>
                <w:rFonts w:ascii="Calibri" w:cs="Calibri" w:eastAsia="Calibri" w:hAnsi="Calibri"/>
                <w:sz w:val="18"/>
                <w:szCs w:val="18"/>
                <w:shd w:fill="FFF200" w:color="auto" w:val="clear"/>
              </w:rPr>
              <w:t xml:space="preserve">[CÓDIGO]</w:t>
            </w:r>
          </w:p>
        </w:tc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Data: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  <w:r>
              <w:rPr>
                <w:rFonts w:ascii="Calibri" w:cs="Calibri" w:eastAsia="Calibri" w:hAnsi="Calibri"/>
                <w:sz w:val="18"/>
                <w:szCs w:val="18"/>
                <w:shd w:fill="FFF200" w:color="auto" w:val="clear"/>
              </w:rPr>
              <w:t xml:space="preserve">[dd/mm/aaaa]</w:t>
            </w:r>
          </w:p>
        </w:tc>
      </w:tr>
    </w:tbl>
    <w:p>
      <w:pPr>
        <w:spacing w:after="40" w:before="40" w:line="252"/>
      </w:pPr>
      <w:r>
        <w:rPr>
          <w:rFonts w:ascii="Calibri" w:cs="Calibri" w:eastAsia="Calibri" w:hAnsi="Calibri"/>
          <w:sz w:val="17"/>
          <w:szCs w:val="17"/>
          <w:shd w:fill="FFF200" w:color="auto" w:val="clear"/>
        </w:rPr>
        <w:t xml:space="preserve">[Rever antes de entregar: confirmar no seu .pbix os valores desta nota, substituir a Figura 1 pela captura da Vista de Modelo e apagar esta linha.]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 w:val="false"/>
        </w:trPr>
        <w:tc>
          <w:tcPr>
            <w:tcW w:type="dxa" w:w="9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Convenções.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Análise pela data da encomenda;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período comparável = 1 jan–31 ago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(última encomenda: 31/08/2026); dias úteis = seg–sex, sem feriados;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processada dentro do prazo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= ≤ 4 dias úteis em [data da encomenda ; data de expedição[ (encomendas de fim de semana contam a partir de 2.ª feira);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entrega no prazo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= data de entrega ≤ data prometida; valor = preço praticado nas linhas; margem = valor − custo dos produtos − custo logístico.</w:t>
            </w:r>
          </w:p>
        </w:tc>
      </w:tr>
    </w:tbl>
    <w:p>
      <w:pPr>
        <w:pStyle w:val="Heading1"/>
        <w:keepNext/>
        <w:pBdr>
          <w:bottom w:val="single" w:color="B08D2F" w:sz="6" w:space="1"/>
        </w:pBdr>
        <w:spacing w:after="60" w:before="15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Resumo executivo</w:t>
      </w:r>
    </w:p>
    <w:p>
      <w:pPr>
        <w:spacing w:after="55" w:line="252"/>
      </w:pPr>
      <w:r>
        <w:rPr>
          <w:rFonts w:ascii="Calibri" w:cs="Calibri" w:eastAsia="Calibri" w:hAnsi="Calibri"/>
          <w:sz w:val="20"/>
          <w:szCs w:val="20"/>
        </w:rPr>
        <w:t xml:space="preserve">Em jan–ago 2026 a LogiDistrib processou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26,9 % mais encomendas</w:t>
      </w:r>
      <w:r>
        <w:rPr>
          <w:rFonts w:ascii="Calibri" w:cs="Calibri" w:eastAsia="Calibri" w:hAnsi="Calibri"/>
          <w:sz w:val="20"/>
          <w:szCs w:val="20"/>
        </w:rPr>
        <w:t xml:space="preserve"> do que no período comparável de 2025 (4 693 vs 3 697) 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25,5 % mais valor</w:t>
      </w:r>
      <w:r>
        <w:rPr>
          <w:rFonts w:ascii="Calibri" w:cs="Calibri" w:eastAsia="Calibri" w:hAnsi="Calibri"/>
          <w:sz w:val="20"/>
          <w:szCs w:val="20"/>
        </w:rPr>
        <w:t xml:space="preserve">, com margem de contribuição de 597 mil € (+26,6 %), taxa de margem de 40,0 % (+0,3 pp) e custo logístico médio de 8,71 € por encomenda (−4,8 %).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 qualidade do serviço não acompanhou:</w:t>
      </w:r>
      <w:r>
        <w:rPr>
          <w:rFonts w:ascii="Calibri" w:cs="Calibri" w:eastAsia="Calibri" w:hAnsi="Calibri"/>
          <w:sz w:val="20"/>
          <w:szCs w:val="20"/>
        </w:rPr>
        <w:t xml:space="preserve"> 88,4 % das entregas chegam até à data prometida (igual a 2025 e 1,3 pp abaixo do objetivo de 89,7 %) e 93,8 % das encomendas são expedidas em ≤ 4 dias úteis (+0,3 pp). Conclusão: melhoria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económica e de eficiência de custo, sem ganho de pontualidade</w:t>
      </w:r>
      <w:r>
        <w:rPr>
          <w:rFonts w:ascii="Calibri" w:cs="Calibri" w:eastAsia="Calibri" w:hAnsi="Calibri"/>
          <w:sz w:val="20"/>
          <w:szCs w:val="20"/>
        </w:rPr>
        <w:t xml:space="preserve">. Prioridade proposta: as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entregas a clientes do Interior</w:t>
      </w:r>
      <w:r>
        <w:rPr>
          <w:rFonts w:ascii="Calibri" w:cs="Calibri" w:eastAsia="Calibri" w:hAnsi="Calibri"/>
          <w:sz w:val="20"/>
          <w:szCs w:val="20"/>
        </w:rPr>
        <w:t xml:space="preserve"> (25,6 % atrasadas, 2,7 vezes o resto do país), que concentram 28 % dos atrasos com 13 % das encomendas e, sozinhas, fechariam o desvio face ao objetivo.</w:t>
      </w:r>
    </w:p>
    <w:p>
      <w:pPr>
        <w:pStyle w:val="Heading1"/>
        <w:keepNext/>
        <w:pBdr>
          <w:bottom w:val="single" w:color="B08D2F" w:sz="6" w:space="1"/>
        </w:pBdr>
        <w:spacing w:after="60" w:before="15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Q1 – Modelo de dados</w:t>
      </w:r>
    </w:p>
    <w:p>
      <w:pPr>
        <w:keepNext/>
        <w:spacing w:after="30"/>
        <w:jc w:val="center"/>
      </w:pPr>
      <w:r>
        <w:drawing>
          <wp:inline distT="0" distB="0" distL="0" distR="0">
            <wp:extent cx="5467350" cy="3390900"/>
            <wp:effectExtent t="0" r="0" b="0" l="0"/>
            <wp:docPr id="1" name="figura" descr="Figura" title="Fig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line="252"/>
        <w:jc w:val="center"/>
      </w:pP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Figura 1 – Modelo em estrela: 2 factos transacionais (linha_encomenda, encomendas), 1 facto de objetivos (objetivos_2026) e 5 dimensões; relações *:1 com filtro da dimensão para o facto. Tracejado: relações inativas (data de expedição e de entrega).</w:t>
      </w:r>
    </w:p>
    <w:p>
      <w:pPr>
        <w:spacing w:after="55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Decisão 1 – Grãos explícitos e custo logístico alocado às linhas.</w:t>
      </w:r>
      <w:r>
        <w:rPr>
          <w:rFonts w:ascii="Calibri" w:cs="Calibri" w:eastAsia="Calibri" w:hAnsi="Calibri"/>
          <w:sz w:val="20"/>
          <w:szCs w:val="20"/>
        </w:rPr>
        <w:t xml:space="preserve"> Duas tabelas de factos com grãos distintos – linha_encomenda (produto numa encomenda; 22 974) e encomendas (uma encomenda; 10 693) – com as entregas incorporadas no Power Query (relação 1:1 por id_encomenda, sem órfãos), o que evita relações 1:1 e duplicações. O custo logístico (custo_transporte) só existe ao nível da encomenda: somá-lo por produto repetiria ou ignoraria filtros. Foi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alocado às linhas pelo peso</w:t>
      </w:r>
      <w:r>
        <w:rPr>
          <w:rFonts w:ascii="Calibri" w:cs="Calibri" w:eastAsia="Calibri" w:hAnsi="Calibri"/>
          <w:sz w:val="20"/>
          <w:szCs w:val="20"/>
        </w:rPr>
        <w:t xml:space="preserve"> (coluna custo_log_aloc; o peso explica melhor o custo do que o valor: correlação 0,86 vs 0,54), pelo que, por qualquer dimensão (produto, cliente, centro, transportadora, tempo), os indicadores somam ao total (95 498 €).</w:t>
      </w:r>
    </w:p>
    <w:p>
      <w:pPr>
        <w:spacing w:after="55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Decisão 2 – Calendário único, datas e dias úteis.</w:t>
      </w:r>
      <w:r>
        <w:rPr>
          <w:rFonts w:ascii="Calibri" w:cs="Calibri" w:eastAsia="Calibri" w:hAnsi="Calibri"/>
          <w:sz w:val="20"/>
          <w:szCs w:val="20"/>
        </w:rPr>
        <w:t xml:space="preserve"> dim_calendario (tabela de datas) liga por relação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ativa à data da encomenda</w:t>
      </w:r>
      <w:r>
        <w:rPr>
          <w:rFonts w:ascii="Calibri" w:cs="Calibri" w:eastAsia="Calibri" w:hAnsi="Calibri"/>
          <w:sz w:val="20"/>
          <w:szCs w:val="20"/>
        </w:rPr>
        <w:t xml:space="preserve"> (convenção do trabalho) e por duas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inativas</w:t>
      </w:r>
      <w:r>
        <w:rPr>
          <w:rFonts w:ascii="Calibri" w:cs="Calibri" w:eastAsia="Calibri" w:hAnsi="Calibri"/>
          <w:sz w:val="20"/>
          <w:szCs w:val="20"/>
        </w:rPr>
        <w:t xml:space="preserve"> às datas de expedição e de entrega (USERELATIONSHIP quando necessário). Como o DAX não tem NETWORKDAYS, os dias úteis são calculados com um contador no calendário (du_antes): dias úteis decorridos = du_antes(expedição) − du_antes(encomenda). Os objetivos (centro × mês, no dia 1) ligam a dim_centro e a dim_calendario – nunca diretamente às encomendas –, todas as relações são *:1 com filtro único, sem bidirecionais nem caminhos ambíguos.</w:t>
      </w:r>
    </w:p>
    <w:p>
      <w:pPr>
        <w:pStyle w:val="Heading1"/>
        <w:keepNext/>
        <w:pBdr>
          <w:bottom w:val="single" w:color="B08D2F" w:sz="6" w:space="1"/>
        </w:pBdr>
        <w:spacing w:after="60" w:before="15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Q2 – Desempenho económico da distribuição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800"/>
        <w:gridCol w:w="2866"/>
      </w:tblGrid>
      <w:tr>
        <w:trPr>
          <w:cantSplit/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Indicador (jan 2025–ago 2026; 10 693 encomendas)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Valor</w:t>
            </w:r>
          </w:p>
        </w:tc>
        <w:tc>
          <w:tcPr>
            <w:tcW w:type="dxa" w:w="2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% do valor das encomendas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Valor das encomendas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3 424 488 €</w:t>
            </w:r>
          </w:p>
        </w:tc>
        <w:tc>
          <w:tcPr>
            <w:tcW w:type="dxa" w:w="2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100,0 %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Custo dos produtos distribuídos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1 962 798 €</w:t>
            </w:r>
          </w:p>
        </w:tc>
        <w:tc>
          <w:tcPr>
            <w:tcW w:type="dxa" w:w="2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57,3 %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Custo logístico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95 498 €</w:t>
            </w:r>
          </w:p>
        </w:tc>
        <w:tc>
          <w:tcPr>
            <w:tcW w:type="dxa" w:w="2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2,8 %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Margem de contribuição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(taxa de margem)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1 366 191 €</w:t>
            </w:r>
          </w:p>
        </w:tc>
        <w:tc>
          <w:tcPr>
            <w:tcW w:type="dxa" w:w="2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39,9 %</w:t>
            </w:r>
          </w:p>
        </w:tc>
      </w:tr>
    </w:tbl>
    <w:p>
      <w:pPr>
        <w:keepNext/>
        <w:spacing w:after="30" w:before="60" w:line="252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Taxa de margem de contribuição por dimensão</w:t>
      </w:r>
      <w:r>
        <w:rPr>
          <w:rFonts w:ascii="Calibri" w:cs="Calibri" w:eastAsia="Calibri" w:hAnsi="Calibri"/>
          <w:sz w:val="17"/>
          <w:szCs w:val="17"/>
        </w:rPr>
        <w:t xml:space="preserve"> (custo logístico alocado às linhas pelo peso)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000"/>
        <w:gridCol w:w="1666"/>
      </w:tblGrid>
      <w:tr>
        <w:trPr>
          <w:cantSplit/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Dimensão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Melhor segmento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Pior segmento</w:t>
            </w:r>
          </w:p>
        </w:tc>
        <w:tc>
          <w:tcPr>
            <w:tcW w:type="dxa" w:w="1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Amplitude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Categoria de produto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Casa (42,9 %)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Cuidados pessoais (34,4 %)</w:t>
            </w:r>
          </w:p>
        </w:tc>
        <w:tc>
          <w:tcPr>
            <w:tcW w:type="dxa" w:w="1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8,5 pp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Subcategoria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Organização (45,1 %)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Higiene (21,6 %)</w:t>
            </w:r>
          </w:p>
        </w:tc>
        <w:tc>
          <w:tcPr>
            <w:tcW w:type="dxa" w:w="1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23,5 pp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Tipo de serviço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Economy (40,2 %)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Express (39,2 %)</w:t>
            </w:r>
          </w:p>
        </w:tc>
        <w:tc>
          <w:tcPr>
            <w:tcW w:type="dxa" w:w="1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1,0 pp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Segmento de cliente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Retalho especializado (40,1 %)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Enterprise (39,8 %)</w:t>
            </w:r>
          </w:p>
        </w:tc>
        <w:tc>
          <w:tcPr>
            <w:tcW w:type="dxa" w:w="1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0,3 pp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Centro logístico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Litoral (40,2 %)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Norte (39,7 %)</w:t>
            </w:r>
          </w:p>
        </w:tc>
        <w:tc>
          <w:tcPr>
            <w:tcW w:type="dxa" w:w="1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0,5 pp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Transportadora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Rede24 (40,5 %)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EixoLog (39,5 %)</w:t>
            </w:r>
          </w:p>
        </w:tc>
        <w:tc>
          <w:tcPr>
            <w:tcW w:type="dxa" w:w="1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1,0 pp</w:t>
            </w:r>
          </w:p>
        </w:tc>
      </w:tr>
    </w:tbl>
    <w:p>
      <w:pPr>
        <w:spacing w:after="55" w:before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Leitura.</w:t>
      </w:r>
      <w:r>
        <w:rPr>
          <w:rFonts w:ascii="Calibri" w:cs="Calibri" w:eastAsia="Calibri" w:hAnsi="Calibri"/>
          <w:sz w:val="20"/>
          <w:szCs w:val="20"/>
        </w:rPr>
        <w:t xml:space="preserve"> A margem depende do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produto</w:t>
      </w:r>
      <w:r>
        <w:rPr>
          <w:rFonts w:ascii="Calibri" w:cs="Calibri" w:eastAsia="Calibri" w:hAnsi="Calibri"/>
          <w:sz w:val="20"/>
          <w:szCs w:val="20"/>
        </w:rPr>
        <w:t xml:space="preserve">, não de quem compra, de onde sai ou de quem entrega: varia 8,5 pp entre categorias (e 23,5 pp entre subcategorias: Higiene só 21,6 %) e ≤ 1,0 pp entre centros, transportadoras, serviços ou segmentos. Cuidados pessoais é penalizada por uma margem bruta baixa (38,3 %) e por um custo logístico de 3,9 % do valor (média: 2,8 %). Só 88 encomendas (0,8 %) têm margem negativa.</w:t>
      </w:r>
    </w:p>
    <w:p>
      <w:pPr>
        <w:pStyle w:val="Heading1"/>
        <w:keepNext/>
        <w:pBdr>
          <w:bottom w:val="single" w:color="B08D2F" w:sz="6" w:space="1"/>
        </w:pBdr>
        <w:spacing w:after="60" w:before="15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Q3 – Eficiência e qualidade operacional</w:t>
      </w:r>
    </w:p>
    <w:p>
      <w:pPr>
        <w:keepNext/>
        <w:spacing w:after="30" w:line="252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Centros logísticos</w:t>
      </w:r>
      <w:r>
        <w:rPr>
          <w:rFonts w:ascii="Calibri" w:cs="Calibri" w:eastAsia="Calibri" w:hAnsi="Calibri"/>
          <w:sz w:val="17"/>
          <w:szCs w:val="17"/>
        </w:rPr>
        <w:t xml:space="preserve"> (jan 2025–ago 2026; Δ = % processadas ≤ 4 d.u. em jan–ago 2026 vs 2025)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000"/>
        <w:gridCol w:w="1700"/>
        <w:gridCol w:w="1900"/>
        <w:gridCol w:w="1500"/>
        <w:gridCol w:w="1466"/>
      </w:tblGrid>
      <w:tr>
        <w:trPr>
          <w:cantSplit/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Centro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Encomendas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% proc. ≤ 4 d.u.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% entregas no prazo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Atraso médio (dias)</w:t>
            </w:r>
          </w:p>
        </w:tc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Δ proc. (pp)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Centro Norte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1 449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FE1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95,0 %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FE1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89,1 %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2,55</w:t>
            </w:r>
          </w:p>
        </w:tc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+1,4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Centro Douro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1 149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93,5 %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88,9 %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2,57</w:t>
            </w:r>
          </w:p>
        </w:tc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−0,1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Centro Litoral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1 466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93,8 %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88,7 %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2,66</w:t>
            </w:r>
          </w:p>
        </w:tc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+1,0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Centro Lisboa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2 050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94,1 %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86,4 %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2,47</w:t>
            </w:r>
          </w:p>
        </w:tc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+0,9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Centro Ribatejo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1 273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93,4 %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88,2 %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2,52</w:t>
            </w:r>
          </w:p>
        </w:tc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FE1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+1,8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Centro Alentejo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1 053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93,8 %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87,0 %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2,31</w:t>
            </w:r>
          </w:p>
        </w:tc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−2,0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Centro Algarve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1 329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94,6 %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87,7 %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CDC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2,68</w:t>
            </w:r>
          </w:p>
        </w:tc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+1,7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Centro Interior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924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CDC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91,0 %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CDC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86,0 %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FE1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2,28</w:t>
            </w:r>
          </w:p>
        </w:tc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CDC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−5,4</w:t>
            </w:r>
          </w:p>
        </w:tc>
      </w:tr>
    </w:tbl>
    <w:p>
      <w:pPr>
        <w:keepNext/>
        <w:spacing w:after="30" w:before="60" w:line="252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Transportadoras</w:t>
      </w:r>
      <w:r>
        <w:rPr>
          <w:rFonts w:ascii="Calibri" w:cs="Calibri" w:eastAsia="Calibri" w:hAnsi="Calibri"/>
          <w:sz w:val="17"/>
          <w:szCs w:val="17"/>
        </w:rPr>
        <w:t xml:space="preserve"> (jan 2025–ago 2026)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000"/>
        <w:gridCol w:w="1500"/>
        <w:gridCol w:w="1400"/>
        <w:gridCol w:w="1600"/>
        <w:gridCol w:w="1466"/>
      </w:tblGrid>
      <w:tr>
        <w:trPr>
          <w:cantSplit/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Transportadora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Encomendas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Custo log. médio (€)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% proc. ≤ 4 d.u.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% entregas no prazo</w:t>
            </w:r>
          </w:p>
        </w:tc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Atraso médio (dias)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RotaSul (Nacional)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1 825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8,49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FE1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94,5 %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87,6 %</w:t>
            </w:r>
          </w:p>
        </w:tc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2,38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ViaNorte (Regional)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1 675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FE1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7,84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93,5 %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FE1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88,7 %</w:t>
            </w:r>
          </w:p>
        </w:tc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FE1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2,34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CargoMais (Nacional)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1 940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9,36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93,8 %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CDC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87,1 %</w:t>
            </w:r>
          </w:p>
        </w:tc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2,61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LusoExpress (Expresso)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2 124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CDC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10,25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94,0 %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87,1 %</w:t>
            </w:r>
          </w:p>
        </w:tc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2,53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EixoLog (Nacional)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1 707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9,13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93,7 %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88,0 %</w:t>
            </w:r>
          </w:p>
        </w:tc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2,52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Rede24 (Regional)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1 422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7,99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CDC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93,2 %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88,3 %</w:t>
            </w:r>
          </w:p>
        </w:tc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CDC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2,68</w:t>
            </w:r>
          </w:p>
        </w:tc>
      </w:tr>
    </w:tbl>
    <w:p>
      <w:pPr>
        <w:spacing w:after="55" w:before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Para a gestão:</w:t>
      </w:r>
      <w:r>
        <w:rPr>
          <w:rFonts w:ascii="Calibri" w:cs="Calibri" w:eastAsia="Calibri" w:hAnsi="Calibri"/>
          <w:sz w:val="20"/>
          <w:szCs w:val="20"/>
        </w:rPr>
        <w:t xml:space="preserve"> (1)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Centro Interior</w:t>
      </w:r>
      <w:r>
        <w:rPr>
          <w:rFonts w:ascii="Calibri" w:cs="Calibri" w:eastAsia="Calibri" w:hAnsi="Calibri"/>
          <w:sz w:val="20"/>
          <w:szCs w:val="20"/>
        </w:rPr>
        <w:t xml:space="preserve"> – pior centro em processamento (91,0 %) e em pontualidade (86,0 %) e a deteriorar-se: em jan–ago, as encomendas processadas ≤ 4 d.u. caíram de 92,8 % para 87,4 % (restantes centros: 93,6 % → 94,4 %) e o custo médio subiu de 8,81 € para 9,04 €, quando desceu nos outros sete. (2)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Centro Lisboa</w:t>
      </w:r>
      <w:r>
        <w:rPr>
          <w:rFonts w:ascii="Calibri" w:cs="Calibri" w:eastAsia="Calibri" w:hAnsi="Calibri"/>
          <w:sz w:val="20"/>
          <w:szCs w:val="20"/>
        </w:rPr>
        <w:t xml:space="preserve"> – o maior (19 % das encomendas; +60 % de volume vs 2025) tem a 2.ª pior pontualidade (86,4 %): a escala não foi acompanhada por qualidade. (3)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Transportadoras</w:t>
      </w:r>
      <w:r>
        <w:rPr>
          <w:rFonts w:ascii="Calibri" w:cs="Calibri" w:eastAsia="Calibri" w:hAnsi="Calibri"/>
          <w:sz w:val="20"/>
          <w:szCs w:val="20"/>
        </w:rPr>
        <w:t xml:space="preserve"> – pouca diferença na qualidade (87,1 %–88,7 % no prazo) mas grande no custo (7,84 € a 10,25 €, +31 %): a LusoExpress, a mais cara, não é mais pontual (87,1 %); a ViaNorte é a mais barata, a mais pontual (88,7 %) e com menor atraso médio (2,3 dias).</w:t>
      </w:r>
    </w:p>
    <w:p>
      <w:pPr>
        <w:pStyle w:val="Heading1"/>
        <w:keepNext/>
        <w:pBdr>
          <w:bottom w:val="single" w:color="B08D2F" w:sz="6" w:space="1"/>
        </w:pBdr>
        <w:spacing w:after="60" w:before="15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Q4 – Evolução do desempenho (2026 vs período comparável de 2025)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400"/>
        <w:gridCol w:w="1400"/>
        <w:gridCol w:w="1700"/>
        <w:gridCol w:w="2066"/>
      </w:tblGrid>
      <w:tr>
        <w:trPr>
          <w:cantSplit/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Indicador (1 jan–31 ago)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2025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2026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Variação</w:t>
            </w:r>
          </w:p>
        </w:tc>
        <w:tc>
          <w:tcPr>
            <w:tcW w:type="dxa" w:w="2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Leitura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Nº de encomendas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3 697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4 693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+26,9 %</w:t>
            </w:r>
          </w:p>
        </w:tc>
        <w:tc>
          <w:tcPr>
            <w:tcW w:type="dxa" w:w="2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FE1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melhora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Valor das encomendas (€)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1 189 502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1 493 004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+25,5 %</w:t>
            </w:r>
          </w:p>
        </w:tc>
        <w:tc>
          <w:tcPr>
            <w:tcW w:type="dxa" w:w="2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FE1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melhora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Margem de contribuição (€)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472 078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597 473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+26,6 %</w:t>
            </w:r>
          </w:p>
        </w:tc>
        <w:tc>
          <w:tcPr>
            <w:tcW w:type="dxa" w:w="2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FE1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melhora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Taxa de margem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39,7 %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40,0 %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+0,3 pp</w:t>
            </w:r>
          </w:p>
        </w:tc>
        <w:tc>
          <w:tcPr>
            <w:tcW w:type="dxa" w:w="2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FE1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ligeira melhoria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Custo logístico médio (€/enc.)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9,15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8,71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−4,8 %</w:t>
            </w:r>
          </w:p>
        </w:tc>
        <w:tc>
          <w:tcPr>
            <w:tcW w:type="dxa" w:w="2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FE1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melhora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% processadas ≤ 4 dias úteis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93,5 %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93,8 %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+0,3 pp</w:t>
            </w:r>
          </w:p>
        </w:tc>
        <w:tc>
          <w:tcPr>
            <w:tcW w:type="dxa" w:w="2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estável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% entregas até à data prometida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88,4 %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88,4 %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0,0 pp</w:t>
            </w:r>
          </w:p>
        </w:tc>
        <w:tc>
          <w:tcPr>
            <w:tcW w:type="dxa" w:w="2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estável (sem ganho)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Atraso médio das entregas atrasadas (dias)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2,55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2,54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0,00</w:t>
            </w:r>
          </w:p>
        </w:tc>
        <w:tc>
          <w:tcPr>
            <w:tcW w:type="dxa" w:w="2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estável</w:t>
            </w:r>
          </w:p>
        </w:tc>
      </w:tr>
    </w:tbl>
    <w:p>
      <w:pPr>
        <w:keepNext/>
        <w:spacing w:after="20" w:before="60"/>
        <w:jc w:val="center"/>
      </w:pPr>
      <w:r>
        <w:drawing>
          <wp:inline distT="0" distB="0" distL="0" distR="0">
            <wp:extent cx="5543550" cy="1857375"/>
            <wp:effectExtent t="0" r="0" b="0" l="0"/>
            <wp:docPr id="1" name="figura" descr="Figura" title="Fig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line="252"/>
        <w:jc w:val="center"/>
      </w:pP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Figura 2 – Entregas até à data prometida por mês (%), 2025 vs 2026 e objetivo 2026 (visual da página executiva, Q6).</w:t>
      </w:r>
    </w:p>
    <w:p>
      <w:pPr>
        <w:spacing w:after="55" w:before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Sinais contraditórios.</w:t>
      </w:r>
      <w:r>
        <w:rPr>
          <w:rFonts w:ascii="Calibri" w:cs="Calibri" w:eastAsia="Calibri" w:hAnsi="Calibri"/>
          <w:sz w:val="20"/>
          <w:szCs w:val="20"/>
        </w:rPr>
        <w:t xml:space="preserve"> (i) Atividade e economia crescem ~26 %, mas a pontualidade fica igual. (ii) O custo médio desce em 7 dos 8 centros, mas sobe no Centro Interior (+0,23 €), onde também cai o processamento. (iii) O serviço Economy cresce +27 % mas a pontualidade desce de 85,2 % para 83,2 %, enquanto o Express sobe de 92,5 % para 93,7 %. (iv) O crescimento vem dos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mesmos 229 clientes</w:t>
      </w:r>
      <w:r>
        <w:rPr>
          <w:rFonts w:ascii="Calibri" w:cs="Calibri" w:eastAsia="Calibri" w:hAnsi="Calibri"/>
          <w:sz w:val="20"/>
          <w:szCs w:val="20"/>
        </w:rPr>
        <w:t xml:space="preserve"> (16,1 → 20,5 encomendas por cliente; ticket médio 322 € → 318 €), não de clientes novos.</w:t>
      </w:r>
    </w:p>
    <w:p>
      <w:pPr>
        <w:spacing w:after="55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Conclusão global.</w:t>
      </w:r>
      <w:r>
        <w:rPr>
          <w:rFonts w:ascii="Calibri" w:cs="Calibri" w:eastAsia="Calibri" w:hAnsi="Calibri"/>
          <w:sz w:val="20"/>
          <w:szCs w:val="20"/>
        </w:rPr>
        <w:t xml:space="preserve"> Em jan–ago 2026 a empresa cresceu e ficou mais eficiente em custo e margem, mas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não melhorou a qualidade do serviço</w:t>
      </w:r>
      <w:r>
        <w:rPr>
          <w:rFonts w:ascii="Calibri" w:cs="Calibri" w:eastAsia="Calibri" w:hAnsi="Calibri"/>
          <w:sz w:val="20"/>
          <w:szCs w:val="20"/>
        </w:rPr>
        <w:t xml:space="preserve">: o ganho económico não se traduziu em pontualidade. Atenção ao risco de pico: em nov–dez 2025 (629 e 707 encomendas) a pontualidade caiu para 84 %–85 %, e esse período ainda não foi testado em 2026 (dados só até agosto).</w:t>
      </w:r>
    </w:p>
    <w:p>
      <w:pPr>
        <w:pStyle w:val="Heading1"/>
        <w:keepNext/>
        <w:pBdr>
          <w:bottom w:val="single" w:color="B08D2F" w:sz="6" w:space="1"/>
        </w:pBdr>
        <w:spacing w:after="60" w:before="15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Q5 – Objetivos para 2026 (jan–ago, por centro)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0"/>
        <w:gridCol w:w="780"/>
        <w:gridCol w:w="960"/>
        <w:gridCol w:w="800"/>
        <w:gridCol w:w="800"/>
        <w:gridCol w:w="880"/>
        <w:gridCol w:w="1000"/>
        <w:gridCol w:w="1000"/>
        <w:gridCol w:w="1366"/>
      </w:tblGrid>
      <w:tr>
        <w:trPr>
          <w:cantSplit/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</w:p>
        </w:tc>
        <w:tc>
          <w:tcPr>
            <w:tcW w:type="dxa" w:w="252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Volume (encomendas)</w:t>
            </w:r>
          </w:p>
        </w:tc>
        <w:tc>
          <w:tcPr>
            <w:tcW w:type="dxa" w:w="248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Custo médio (€/enc.)</w:t>
            </w:r>
          </w:p>
        </w:tc>
        <w:tc>
          <w:tcPr>
            <w:tcW w:type="dxa" w:w="336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Entregas no prazo</w:t>
            </w:r>
          </w:p>
        </w:tc>
      </w:tr>
      <w:tr>
        <w:trPr>
          <w:cantSplit/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Centro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Real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Obj.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Δ 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Obj.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Δ 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Obj.</w:t>
            </w:r>
          </w:p>
        </w:tc>
        <w:tc>
          <w:tcPr>
            <w:tcW w:type="dxa" w:w="1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Δ pp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Norte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642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555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FE1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+15,7 %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8,83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8,78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CDC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+0,05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89,6 %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93,0 %</w:t>
            </w:r>
          </w:p>
        </w:tc>
        <w:tc>
          <w:tcPr>
            <w:tcW w:type="dxa" w:w="1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CDC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−3,4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Douro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500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430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FE1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+16,3 %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8,70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9,24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FE1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−0,54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87,8 %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88,9 %</w:t>
            </w:r>
          </w:p>
        </w:tc>
        <w:tc>
          <w:tcPr>
            <w:tcW w:type="dxa" w:w="1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CDC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−1,1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Litoral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600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549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FE1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+9,3 %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8,60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8,78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FE1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−0,18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90,7 %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89,4 %</w:t>
            </w:r>
          </w:p>
        </w:tc>
        <w:tc>
          <w:tcPr>
            <w:tcW w:type="dxa" w:w="1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FE1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+1,3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Lisboa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1 004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703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FE1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+42,8 %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8,71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9,33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FE1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−0,62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87,7 %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87,8 %</w:t>
            </w:r>
          </w:p>
        </w:tc>
        <w:tc>
          <w:tcPr>
            <w:tcW w:type="dxa" w:w="1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0,0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Ribatejo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537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504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FE1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+6,5 %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8,78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9,10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FE1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−0,33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88,6 %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89,3 %</w:t>
            </w:r>
          </w:p>
        </w:tc>
        <w:tc>
          <w:tcPr>
            <w:tcW w:type="dxa" w:w="1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CDC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−0,6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Alentejo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455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410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FE1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+11,0 %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8,45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9,14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FE1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−0,69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86,8 %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90,1 %</w:t>
            </w:r>
          </w:p>
        </w:tc>
        <w:tc>
          <w:tcPr>
            <w:tcW w:type="dxa" w:w="1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CDC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−3,3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Algarve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566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499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FE1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+13,4 %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8,63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8,98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FE1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−0,35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88,2 %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89,6 %</w:t>
            </w:r>
          </w:p>
        </w:tc>
        <w:tc>
          <w:tcPr>
            <w:tcW w:type="dxa" w:w="1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CDC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−1,4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Interior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389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372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FE1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+4,6 %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9,04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8,67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CDC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+0,37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87,1 %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89,9 %</w:t>
            </w:r>
          </w:p>
        </w:tc>
        <w:tc>
          <w:tcPr>
            <w:tcW w:type="dxa" w:w="1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CDC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−2,7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Total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4 693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4 022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FE1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+16,7 %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8,71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9,02</w:t>
            </w:r>
          </w:p>
        </w:tc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FE1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−0,31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88,4 %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89,7 %</w:t>
            </w:r>
          </w:p>
        </w:tc>
        <w:tc>
          <w:tcPr>
            <w:tcW w:type="dxa" w:w="1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CDC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−1,3</w:t>
            </w:r>
          </w:p>
        </w:tc>
      </w:tr>
    </w:tbl>
    <w:p>
      <w:pPr>
        <w:spacing w:after="55" w:before="5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Leitura.</w:t>
      </w:r>
      <w:r>
        <w:rPr>
          <w:rFonts w:ascii="Calibri" w:cs="Calibri" w:eastAsia="Calibri" w:hAnsi="Calibri"/>
          <w:sz w:val="20"/>
          <w:szCs w:val="20"/>
        </w:rPr>
        <w:t xml:space="preserve"> O volume supera o objetivo em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todos</w:t>
      </w:r>
      <w:r>
        <w:rPr>
          <w:rFonts w:ascii="Calibri" w:cs="Calibri" w:eastAsia="Calibri" w:hAnsi="Calibri"/>
          <w:sz w:val="20"/>
          <w:szCs w:val="20"/>
        </w:rPr>
        <w:t xml:space="preserve"> os centros (+16,7 %; os objetivos supunham +8,8 % sobre 2025 e o crescimento real foi +27 %); o custo médio está abaixo do objetivo em 6 de 8 centros; a pontualidade está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abaixo em 6 de 8</w:t>
      </w:r>
      <w:r>
        <w:rPr>
          <w:rFonts w:ascii="Calibri" w:cs="Calibri" w:eastAsia="Calibri" w:hAnsi="Calibri"/>
          <w:sz w:val="20"/>
          <w:szCs w:val="20"/>
        </w:rPr>
        <w:t xml:space="preserve">. Por centro-mês (64): cumprem o volume 49, o custo 43 e a pontualidade só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20</w:t>
      </w:r>
      <w:r>
        <w:rPr>
          <w:rFonts w:ascii="Calibri" w:cs="Calibri" w:eastAsia="Calibri" w:hAnsi="Calibri"/>
          <w:sz w:val="20"/>
          <w:szCs w:val="20"/>
        </w:rPr>
        <w:t xml:space="preserve">; apenas 10 cumprem os três.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 apreciação muda com o indicador:</w:t>
      </w:r>
      <w:r>
        <w:rPr>
          <w:rFonts w:ascii="Calibri" w:cs="Calibri" w:eastAsia="Calibri" w:hAnsi="Calibri"/>
          <w:sz w:val="20"/>
          <w:szCs w:val="20"/>
        </w:rPr>
        <w:t xml:space="preserve"> Lisboa é 1.º em volume (+43 %) e 2.º em custo e pontualidade; o Norte é 3.º em volume mas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último em pontualidade</w:t>
      </w:r>
      <w:r>
        <w:rPr>
          <w:rFonts w:ascii="Calibri" w:cs="Calibri" w:eastAsia="Calibri" w:hAnsi="Calibri"/>
          <w:sz w:val="20"/>
          <w:szCs w:val="20"/>
        </w:rPr>
        <w:t xml:space="preserve"> (−3,4 pp) e com custo ligeiramente acima do objetivo; o Alentejo é 1.º em custo e 7.º em pontualidade (−3,3 pp); o Litoral é o único acima do objetivo de pontualidade (+1,3 pp) mas 6.º em volume e custo; o Interior é último em volume e custo e 6.º em pontualidade – o pior centro globalmente.</w:t>
      </w:r>
    </w:p>
    <w:p>
      <w:pPr>
        <w:pStyle w:val="Heading1"/>
        <w:keepNext/>
        <w:pBdr>
          <w:bottom w:val="single" w:color="B08D2F" w:sz="6" w:space="1"/>
        </w:pBdr>
        <w:spacing w:after="60" w:before="15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Q6 – Página de acompanhamento executivo</w:t>
      </w:r>
    </w:p>
    <w:p>
      <w:pPr>
        <w:spacing w:after="55" w:line="252"/>
      </w:pPr>
      <w:r>
        <w:rPr>
          <w:rFonts w:ascii="Calibri" w:cs="Calibri" w:eastAsia="Calibri" w:hAnsi="Calibri"/>
          <w:sz w:val="20"/>
          <w:szCs w:val="20"/>
        </w:rPr>
        <w:t xml:space="preserve">Página «LogiDistrib – Acompanhamento executivo»: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6 cartões</w:t>
      </w:r>
      <w:r>
        <w:rPr>
          <w:rFonts w:ascii="Calibri" w:cs="Calibri" w:eastAsia="Calibri" w:hAnsi="Calibri"/>
          <w:sz w:val="20"/>
          <w:szCs w:val="20"/>
        </w:rPr>
        <w:t xml:space="preserve"> com os indicadores fundamentais de 2026 (encomendas, valor, taxa de margem, custo logístico médio, % processadas ≤ 4 d.u., % entregas no prazo) e, por baixo de cada um, um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cartão com a variação face ao período comparável de 2025</w:t>
      </w:r>
      <w:r>
        <w:rPr>
          <w:rFonts w:ascii="Calibri" w:cs="Calibri" w:eastAsia="Calibri" w:hAnsi="Calibri"/>
          <w:sz w:val="20"/>
          <w:szCs w:val="20"/>
        </w:rPr>
        <w:t xml:space="preserve"> (+26,9 %, +25,5 %, +0,33 pp, −4,8 %, +0,29 pp, −0,01 pp);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linhas mensais</w:t>
      </w:r>
      <w:r>
        <w:rPr>
          <w:rFonts w:ascii="Calibri" w:cs="Calibri" w:eastAsia="Calibri" w:hAnsi="Calibri"/>
          <w:sz w:val="20"/>
          <w:szCs w:val="20"/>
        </w:rPr>
        <w:t xml:space="preserve"> 2025 vs 2026 da pontualidade, com a linha do objetivo (89,7 %); e quatro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segmentadores</w:t>
      </w:r>
      <w:r>
        <w:rPr>
          <w:rFonts w:ascii="Calibri" w:cs="Calibri" w:eastAsia="Calibri" w:hAnsi="Calibri"/>
          <w:sz w:val="20"/>
          <w:szCs w:val="20"/>
        </w:rPr>
        <w:t xml:space="preserve">: ano, centro, tipo de serviço e região do cliente. A comparação por centro face aos objetivos está na página da Q5.</w:t>
      </w:r>
    </w:p>
    <w:p>
      <w:pPr>
        <w:spacing w:after="55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Visual escolhido:</w:t>
      </w:r>
      <w:r>
        <w:rPr>
          <w:rFonts w:ascii="Calibri" w:cs="Calibri" w:eastAsia="Calibri" w:hAnsi="Calibri"/>
          <w:sz w:val="20"/>
          <w:szCs w:val="20"/>
        </w:rPr>
        <w:t xml:space="preserve"> linhas sobrepostas 2025 vs 2026, e não barras anuais. A pergunta da Direção é de tendência e sazonalidade: a sobreposição mostra que a pontualidade de 2026 não melhora face a 2025 e fica abaixo do objetivo em todos os meses; fora do período comparável, em nov–dez 2025, caiu para 84 %–85 % quando o volume sobe, um risco que as médias anuais escondem.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Filtro que não afeta um visual (deliberado):</w:t>
      </w:r>
      <w:r>
        <w:rPr>
          <w:rFonts w:ascii="Calibri" w:cs="Calibri" w:eastAsia="Calibri" w:hAnsi="Calibri"/>
          <w:sz w:val="20"/>
          <w:szCs w:val="20"/>
        </w:rPr>
        <w:t xml:space="preserve"> o segmentador «Ano» tem a interação desativada (Editar interações → Nenhum) no gráfico de linhas (Figura 2), que precisa sempre dos dois anos; os restantes segmentadores (centro, tipo de serviço e região do cliente) continuam a filtrá-lo.</w:t>
      </w:r>
    </w:p>
    <w:p>
      <w:pPr>
        <w:pStyle w:val="Heading1"/>
        <w:keepNext/>
        <w:pBdr>
          <w:bottom w:val="single" w:color="B08D2F" w:sz="6" w:space="1"/>
        </w:pBdr>
        <w:spacing w:after="60" w:before="15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Q7 – Avaliação crítica da afirmação da Direção</w:t>
      </w:r>
    </w:p>
    <w:p>
      <w:pPr>
        <w:keepNext/>
        <w:spacing w:after="55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Decisão: QUALIFICADA.</w:t>
      </w:r>
      <w:r>
        <w:rPr>
          <w:rFonts w:ascii="Calibri" w:cs="Calibri" w:eastAsia="Calibri" w:hAnsi="Calibri"/>
          <w:sz w:val="20"/>
          <w:szCs w:val="20"/>
        </w:rPr>
        <w:t xml:space="preserve"> As duas afirmações são verdadeiras – 4 693 vs 3 697 encomendas (+26,9 %) e custo logístico médio 9,15 € → 8,71 € (−4,8 %); a descida ocorre dentro de cada serviço (Economy 7,95 → 7,52 €; Standard 8,88 → 8,46 €; Express 11,77 → 11,14 €), logo não é efeito de mix –, mas medem só volume e custo 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não bastam para concluir que a operação melhorou</w:t>
      </w:r>
      <w:r>
        <w:rPr>
          <w:rFonts w:ascii="Calibri" w:cs="Calibri" w:eastAsia="Calibri" w:hAnsi="Calibri"/>
          <w:sz w:val="20"/>
          <w:szCs w:val="20"/>
        </w:rPr>
        <w:t xml:space="preserve">: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700"/>
        <w:gridCol w:w="2066"/>
      </w:tblGrid>
      <w:tr>
        <w:trPr>
          <w:cantSplit/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Dimensão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Evidência (jan–ago, 2025 → 2026)</w:t>
            </w:r>
          </w:p>
        </w:tc>
        <w:tc>
          <w:tcPr>
            <w:tcW w:type="dxa" w:w="2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Leitura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Qualidade do serviço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Entregas no prazo 88,4 % → 88,4 % (1,3 pp abaixo do objetivo); atraso médio 2,55 → 2,54 dias; processamento ≤ 4 d.u. 93,5 % → 93,8 %</w:t>
            </w:r>
          </w:p>
        </w:tc>
        <w:tc>
          <w:tcPr>
            <w:tcW w:type="dxa" w:w="2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FC8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sem melhoria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Concentração de problemas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Centro Interior: processamento −5,4 pp, custo +0,23 €; clientes do Interior: atrasos 19,2 % → 25,6 %; Economy: pontualidade −2,0 pp</w:t>
            </w:r>
          </w:p>
        </w:tc>
        <w:tc>
          <w:tcPr>
            <w:tcW w:type="dxa" w:w="2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CDC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piora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Sustentabilidade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Crescimento só de clientes existentes (16,1 → 20,5 enc./cliente); pico nov–dez 2025 com pontualidade 84 %–85 % ainda por testar</w:t>
            </w:r>
          </w:p>
        </w:tc>
        <w:tc>
          <w:tcPr>
            <w:tcW w:type="dxa" w:w="2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FC8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risco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Economia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Margem +26,6 %; taxa de margem +0,3 pp; custo logístico total +21 % (menos que o volume)</w:t>
            </w:r>
          </w:p>
        </w:tc>
        <w:tc>
          <w:tcPr>
            <w:tcW w:type="dxa" w:w="2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FE1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melhora</w:t>
            </w:r>
          </w:p>
        </w:tc>
      </w:tr>
    </w:tbl>
    <w:p>
      <w:pPr>
        <w:spacing w:after="55" w:before="50" w:line="252"/>
      </w:pPr>
      <w:r>
        <w:rPr>
          <w:rFonts w:ascii="Calibri" w:cs="Calibri" w:eastAsia="Calibri" w:hAnsi="Calibri"/>
          <w:sz w:val="20"/>
          <w:szCs w:val="20"/>
        </w:rPr>
        <w:t xml:space="preserve">Formulação adequada: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«a operação ganhou eficiência de custo com mais volume, sem melhoria da qualidade de serviço»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Heading1"/>
        <w:keepNext/>
        <w:pBdr>
          <w:bottom w:val="single" w:color="B08D2F" w:sz="6" w:space="1"/>
        </w:pBdr>
        <w:spacing w:after="60" w:before="15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Q8 – Prioridade de intervenção</w:t>
      </w:r>
    </w:p>
    <w:p>
      <w:pPr>
        <w:spacing w:after="2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Problema.</w:t>
      </w:r>
      <w:r>
        <w:rPr>
          <w:rFonts w:ascii="Calibri" w:cs="Calibri" w:eastAsia="Calibri" w:hAnsi="Calibri"/>
          <w:sz w:val="20"/>
          <w:szCs w:val="20"/>
        </w:rPr>
        <w:t xml:space="preserve"> Entregas atrasadas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clientes da região Interior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2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Relevância.</w:t>
      </w:r>
      <w:r>
        <w:rPr>
          <w:rFonts w:ascii="Calibri" w:cs="Calibri" w:eastAsia="Calibri" w:hAnsi="Calibri"/>
          <w:sz w:val="20"/>
          <w:szCs w:val="20"/>
        </w:rPr>
        <w:t xml:space="preserve"> Em jan–ago 2026, 25,6 % das encomendas do Interior chegam depois da data prometida (153 de 597) contra 9,6 % no resto (2,7×); é 13 % das encomendas mas 28 % dos atrasos, e piorou (19,2 % em 2025). O efeito não é explicado por serviço, transportadora ou centro. Se o Interior tivesse a taxa do resto do país, evitar-se-iam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~96 atrasos</w:t>
      </w:r>
      <w:r>
        <w:rPr>
          <w:rFonts w:ascii="Calibri" w:cs="Calibri" w:eastAsia="Calibri" w:hAnsi="Calibri"/>
          <w:sz w:val="20"/>
          <w:szCs w:val="20"/>
        </w:rPr>
        <w:t xml:space="preserve"> (−18 %) e a pontualidade global passaria de 88,4 % para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90,4 %</w:t>
      </w:r>
      <w:r>
        <w:rPr>
          <w:rFonts w:ascii="Calibri" w:cs="Calibri" w:eastAsia="Calibri" w:hAnsi="Calibri"/>
          <w:sz w:val="20"/>
          <w:szCs w:val="20"/>
        </w:rPr>
        <w:t xml:space="preserve">, acima do objetivo (89,7 %).</w:t>
      </w:r>
    </w:p>
    <w:p>
      <w:pPr>
        <w:spacing w:after="2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Ação concreta.</w:t>
      </w:r>
      <w:r>
        <w:rPr>
          <w:rFonts w:ascii="Calibri" w:cs="Calibri" w:eastAsia="Calibri" w:hAnsi="Calibri"/>
          <w:sz w:val="20"/>
          <w:szCs w:val="20"/>
        </w:rPr>
        <w:t xml:space="preserve"> Piloto de 90 dias para os 29 clientes do Interior: (a) recalibrar a data prometida (a entrega chega em média 0,4 dias depois da data prometida no Interior, contra 0,0 no resto: a promessa depende só do serviço, não da região); (b) concentrar estas entregas nas transportadoras e centros com melhor desempenho no Interior (Rede24: 20,9 %; Douro e Litoral: 17 %–18 %, a validar no piloto) com SLA e penalizações; (c) acompanhar no relatório com meta de ≤ 15 % de atrasos.</w:t>
      </w:r>
    </w:p>
    <w:p>
      <w:pPr>
        <w:spacing w:after="2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4. Alternativa considerada.</w:t>
      </w:r>
      <w:r>
        <w:rPr>
          <w:rFonts w:ascii="Calibri" w:cs="Calibri" w:eastAsia="Calibri" w:hAnsi="Calibri"/>
          <w:sz w:val="20"/>
          <w:szCs w:val="20"/>
        </w:rPr>
        <w:t xml:space="preserve"> Recuperar o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Centro Interior</w:t>
      </w:r>
      <w:r>
        <w:rPr>
          <w:rFonts w:ascii="Calibri" w:cs="Calibri" w:eastAsia="Calibri" w:hAnsi="Calibri"/>
          <w:sz w:val="20"/>
          <w:szCs w:val="20"/>
        </w:rPr>
        <w:t xml:space="preserve">: processamento ≤ 4 d.u. de 92,8 % para 87,4 % e custo médio acima do objetivo (9,04 vs 8,67 €).</w:t>
      </w:r>
    </w:p>
    <w:p>
      <w:pPr>
        <w:spacing w:after="55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5. Porque não é a 1.ª prioridade.</w:t>
      </w:r>
      <w:r>
        <w:rPr>
          <w:rFonts w:ascii="Calibri" w:cs="Calibri" w:eastAsia="Calibri" w:hAnsi="Calibri"/>
          <w:sz w:val="20"/>
          <w:szCs w:val="20"/>
        </w:rPr>
        <w:t xml:space="preserve"> Afeta 389 encomendas (8 % do volume) e voltar ao nível de 2025 recuperaria só ~21 encomendas (+0,4 pp no processamento global), sem ganho demonstrado na pontualidade final: o atraso é semelhante com processamento dentro e fora do prazo (12 % vs 13 %). O Interior-cliente afeta 1,5× mais encomendas, mexe diretamente com a promessa ao cliente e tem 4,6× mais impacto potencial.</w:t>
      </w:r>
    </w:p>
    <w:p>
      <w:pPr>
        <w:pStyle w:val="Heading1"/>
        <w:keepNext/>
        <w:pBdr>
          <w:bottom w:val="single" w:color="B08D2F" w:sz="6" w:space="1"/>
        </w:pBdr>
        <w:spacing w:after="60" w:before="15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Q9 – Key Influencers: síntese</w:t>
      </w:r>
    </w:p>
    <w:p>
      <w:pPr>
        <w:spacing w:after="55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9.1 Variável e fatores.</w:t>
      </w:r>
      <w:r>
        <w:rPr>
          <w:rFonts w:ascii="Calibri" w:cs="Calibri" w:eastAsia="Calibri" w:hAnsi="Calibri"/>
          <w:sz w:val="20"/>
          <w:szCs w:val="20"/>
        </w:rPr>
        <w:t xml:space="preserve"> Variável explicada: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Entrega Atrasada</w:t>
      </w:r>
      <w:r>
        <w:rPr>
          <w:rFonts w:ascii="Calibri" w:cs="Calibri" w:eastAsia="Calibri" w:hAnsi="Calibri"/>
          <w:sz w:val="20"/>
          <w:szCs w:val="20"/>
        </w:rPr>
        <w:t xml:space="preserve"> (coluna calculada: data de entrega &gt; data prometida; 1 310 de 10 693 encomendas = 12,3 %), ao nível da encomenda. Explicada por: região e segmento do cliente, tipo de cliente, tipo de serviço, prioridade, canal, transportadora, centro, peso total, nº de linhas, existência de frágeis e região diferente da do centro.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Fatores principais:</w:t>
      </w:r>
      <w:r>
        <w:rPr>
          <w:rFonts w:ascii="Calibri" w:cs="Calibri" w:eastAsia="Calibri" w:hAnsi="Calibri"/>
          <w:sz w:val="20"/>
          <w:szCs w:val="20"/>
        </w:rPr>
        <w:t xml:space="preserve"> (1)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região do cliente = Interior</w:t>
      </w:r>
      <w:r>
        <w:rPr>
          <w:rFonts w:ascii="Calibri" w:cs="Calibri" w:eastAsia="Calibri" w:hAnsi="Calibri"/>
          <w:sz w:val="20"/>
          <w:szCs w:val="20"/>
        </w:rPr>
        <w:t xml:space="preserve"> – 23,5 % de atrasos vs 10,6 % no resto (2,2×); (2)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serviço Economy</w:t>
      </w:r>
      <w:r>
        <w:rPr>
          <w:rFonts w:ascii="Calibri" w:cs="Calibri" w:eastAsia="Calibri" w:hAnsi="Calibri"/>
          <w:sz w:val="20"/>
          <w:szCs w:val="20"/>
        </w:rPr>
        <w:t xml:space="preserve"> – 16,7 % vs 10,7 % (1,6×; Express: 7,5 %); (3)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prioridade Normal</w:t>
      </w:r>
      <w:r>
        <w:rPr>
          <w:rFonts w:ascii="Calibri" w:cs="Calibri" w:eastAsia="Calibri" w:hAnsi="Calibri"/>
          <w:sz w:val="20"/>
          <w:szCs w:val="20"/>
        </w:rPr>
        <w:t xml:space="preserve"> – 12,9 % vs 9,4 % da Alta; (4)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peso &gt; 20 kg</w:t>
      </w:r>
      <w:r>
        <w:rPr>
          <w:rFonts w:ascii="Calibri" w:cs="Calibri" w:eastAsia="Calibri" w:hAnsi="Calibri"/>
          <w:sz w:val="20"/>
          <w:szCs w:val="20"/>
        </w:rPr>
        <w:t xml:space="preserve"> – 16,9 % vs 11,9 %. Transportadora, canal e segmento do cliente praticamente não diferenciam (±1–2 pp).</w:t>
      </w:r>
    </w:p>
    <w:p>
      <w:pPr>
        <w:spacing w:after="55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9.2 Escolha de variáveis e fuga de informação.</w:t>
      </w:r>
      <w:r>
        <w:rPr>
          <w:rFonts w:ascii="Calibri" w:cs="Calibri" w:eastAsia="Calibri" w:hAnsi="Calibri"/>
          <w:sz w:val="20"/>
          <w:szCs w:val="20"/>
        </w:rPr>
        <w:t xml:space="preserve"> Só entram variáveis conhecidas no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registo da encomenda</w:t>
      </w:r>
      <w:r>
        <w:rPr>
          <w:rFonts w:ascii="Calibri" w:cs="Calibri" w:eastAsia="Calibri" w:hAnsi="Calibri"/>
          <w:sz w:val="20"/>
          <w:szCs w:val="20"/>
        </w:rPr>
        <w:t xml:space="preserve"> (momento em que se pode agir na promessa, no centro ou na transportadora).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Excluídas: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tentativas_entrega</w:t>
      </w:r>
      <w:r>
        <w:rPr>
          <w:rFonts w:ascii="Calibri" w:cs="Calibri" w:eastAsia="Calibri" w:hAnsi="Calibri"/>
          <w:sz w:val="20"/>
          <w:szCs w:val="20"/>
        </w:rPr>
        <w:t xml:space="preserve"> – informação posterior e consequência do resultado (531 encomendas com ≥ 2 tentativas: 57 % atrasadas; 3 tentativas: 100 %, 6 enc.);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custo_transporte</w:t>
      </w:r>
      <w:r>
        <w:rPr>
          <w:rFonts w:ascii="Calibri" w:cs="Calibri" w:eastAsia="Calibri" w:hAnsi="Calibri"/>
          <w:sz w:val="20"/>
          <w:szCs w:val="20"/>
        </w:rPr>
        <w:t xml:space="preserve"> – aparenta incluir o custo de re-entrega (custo médio 8,70 € com 1 tentativa, 13,33 € com 2 e 17,35 € com 3, para pesos médios semelhantes de 8,3, 8,8 e 7,5 kg), logo refletiria o próprio atraso;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Atraso Entrega (dias)</w:t>
      </w:r>
      <w:r>
        <w:rPr>
          <w:rFonts w:ascii="Calibri" w:cs="Calibri" w:eastAsia="Calibri" w:hAnsi="Calibri"/>
          <w:sz w:val="20"/>
          <w:szCs w:val="20"/>
        </w:rPr>
        <w:t xml:space="preserve"> e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data_entrega</w:t>
      </w:r>
      <w:r>
        <w:rPr>
          <w:rFonts w:ascii="Calibri" w:cs="Calibri" w:eastAsia="Calibri" w:hAnsi="Calibri"/>
          <w:sz w:val="20"/>
          <w:szCs w:val="20"/>
        </w:rPr>
        <w:t xml:space="preserve"> – circulares (definem a variável);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data_expedicao</w:t>
      </w:r>
      <w:r>
        <w:rPr>
          <w:rFonts w:ascii="Calibri" w:cs="Calibri" w:eastAsia="Calibri" w:hAnsi="Calibri"/>
          <w:sz w:val="20"/>
          <w:szCs w:val="20"/>
        </w:rPr>
        <w:t xml:space="preserve">/dias de processamento – só conhecidos depois. O prazo prometido foi omitido por ser função do tipo de serviço (redundante).</w:t>
      </w:r>
    </w:p>
    <w:p>
      <w:pPr>
        <w:keepNext/>
        <w:spacing w:after="30" w:before="40" w:line="252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9.3 Validação independente</w:t>
      </w:r>
      <w:r>
        <w:rPr>
          <w:rFonts w:ascii="Calibri" w:cs="Calibri" w:eastAsia="Calibri" w:hAnsi="Calibri"/>
          <w:sz w:val="17"/>
          <w:szCs w:val="17"/>
        </w:rPr>
        <w:t xml:space="preserve"> – matriz no Power BI: % de entregas atrasadas, região do cliente Interior vs restantes, por tipo de serviço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00"/>
        <w:gridCol w:w="2300"/>
        <w:gridCol w:w="2666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Serviço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Clientes do Interior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Restantes regiões</w:t>
            </w:r>
          </w:p>
        </w:tc>
        <w:tc>
          <w:tcPr>
            <w:tcW w:type="dxa" w:w="2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Razão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Economy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30,0 %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14,6 %</w:t>
            </w:r>
          </w:p>
        </w:tc>
        <w:tc>
          <w:tcPr>
            <w:tcW w:type="dxa" w:w="2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2,1×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Standard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23,4 %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10,1 %</w:t>
            </w:r>
          </w:p>
        </w:tc>
        <w:tc>
          <w:tcPr>
            <w:tcW w:type="dxa" w:w="2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2,3×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Express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14,9 %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6,3 %</w:t>
            </w:r>
          </w:p>
        </w:tc>
        <w:tc>
          <w:tcPr>
            <w:tcW w:type="dxa" w:w="2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2,4×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Total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23,5 %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10,6 %</w:t>
            </w:r>
          </w:p>
        </w:tc>
        <w:tc>
          <w:tcPr>
            <w:tcW w:type="dxa" w:w="2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2,2×</w:t>
            </w:r>
          </w:p>
        </w:tc>
      </w:tr>
    </w:tbl>
    <w:p>
      <w:pPr>
        <w:spacing w:after="55" w:before="50" w:line="252"/>
      </w:pPr>
      <w:r>
        <w:rPr>
          <w:rFonts w:ascii="Calibri" w:cs="Calibri" w:eastAsia="Calibri" w:hAnsi="Calibri"/>
          <w:sz w:val="20"/>
          <w:szCs w:val="20"/>
        </w:rPr>
        <w:t xml:space="preserve">O padrão do visual (Interior como principal fator)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confirma-se na matriz</w:t>
      </w:r>
      <w:r>
        <w:rPr>
          <w:rFonts w:ascii="Calibri" w:cs="Calibri" w:eastAsia="Calibri" w:hAnsi="Calibri"/>
          <w:sz w:val="20"/>
          <w:szCs w:val="20"/>
        </w:rPr>
        <w:t xml:space="preserve"> (2,2×) e mantém-se em todos os serviços, em todas as 6 transportadoras (Interior 21 %–27 % vs 10 %–11 %), em todos os 8 centros (17 %–28 % vs 9 %–12 %) e nos 29 clientes do Interior (todos acima da média global; mínimo 14 %). Diferença face ao visual: o Key Influencers compara cada categoria com todas as outras e controla os restantes fatores em simultâneo; a matriz mostra taxas brutas.</w:t>
      </w:r>
    </w:p>
    <w:p>
      <w:pPr>
        <w:spacing w:after="55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9.4 Associação e causalidade.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Não.</w:t>
      </w:r>
      <w:r>
        <w:rPr>
          <w:rFonts w:ascii="Calibri" w:cs="Calibri" w:eastAsia="Calibri" w:hAnsi="Calibri"/>
          <w:sz w:val="20"/>
          <w:szCs w:val="20"/>
        </w:rPr>
        <w:t xml:space="preserve"> O visual mostra associação, não causa: «Interior» é um rótulo, não um mecanismo. Explicação alternativa plausível, observada nos dados: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data prometida depende só do serviço</w:t>
      </w:r>
      <w:r>
        <w:rPr>
          <w:rFonts w:ascii="Calibri" w:cs="Calibri" w:eastAsia="Calibri" w:hAnsi="Calibri"/>
          <w:sz w:val="20"/>
          <w:szCs w:val="20"/>
        </w:rPr>
        <w:t xml:space="preserve"> (Standard: 4,2 dias de trânsito prometido para todas as regiões), mas o trânsito real no Interior é maior (4,5 vs 4,2 dias), logo o atraso decorre de uma promessa desajustada à distância/acessibilidade (não observadas) e não da região em si. Cautelas: nenhum fator explica a maioria dos atrasos (mesmo no segmento mais crítico, Interior + Economy, 30 % das entregas atrasam, logo 70 % chegam a tempo) e a prioridade Normal pode refletir tratamento diferenciado, não causa.</w:t>
      </w:r>
    </w:p>
    <w:p>
      <w:pPr>
        <w:spacing w:after="55" w:before="90" w:line="252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Declaro que compreendo e assumo como minhas todas as soluções apresentadas neste trabalho, incluindo as desenvolvidas com auxílio de ferramentas de Inteligência Artificial, e que estou preparado para as explicar e modificar durante a defesa individual.</w:t>
      </w:r>
    </w:p>
    <w:sectPr>
      <w:headerReference w:type="default" r:id="rId7"/>
      <w:footerReference w:type="default" r:id="rId8"/>
      <w:pgSz w:w="11906" w:h="16838" w:orient="portrait"/>
      <w:pgMar w:top="1000" w:right="1020" w:bottom="900" w:left="102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5"/>
        <w:szCs w:val="15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tabs>
        <w:tab w:val="right" w:pos="9866"/>
      </w:tabs>
    </w:pPr>
    <w:r>
      <w:rPr>
        <w:rFonts w:ascii="Calibri" w:cs="Calibri" w:eastAsia="Calibri" w:hAnsi="Calibri"/>
        <w:color w:val="595959"/>
        <w:sz w:val="15"/>
        <w:szCs w:val="15"/>
      </w:rPr>
      <w:t xml:space="preserve">Ferramentas para Análise de Dados (2MAG09) – Trabalho Individual Power BI</w:t>
    </w:r>
    <w:r>
      <w:rPr>
        <w:rFonts w:ascii="Calibri" w:cs="Calibri" w:eastAsia="Calibri" w:hAnsi="Calibri"/>
        <w:color w:val="595959"/>
        <w:sz w:val="15"/>
        <w:szCs w:val="15"/>
      </w:rPr>
      <w:t xml:space="preserve">	Nota Executiva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50"/>
      <w:outlineLvl w:val="0"/>
    </w:pPr>
    <w:rPr>
      <w:rFonts w:ascii="Calibri" w:cs="Calibri" w:eastAsia="Calibri" w:hAnsi="Calibri"/>
      <w:b/>
      <w:bCs/>
      <w:color w:val="1F3A5F"/>
      <w:sz w:val="25"/>
      <w:szCs w:val="25"/>
    </w:rPr>
  </w:style>
  <w:style w:type="paragraph" w:styleId="Heading2">
    <w:name w:val="Heading 2"/>
    <w:basedOn w:val="Normal"/>
    <w:next w:val="Normal"/>
    <w:qFormat/>
    <w:pPr>
      <w:spacing w:after="40" w:before="90"/>
      <w:outlineLvl w:val="1"/>
    </w:pPr>
    <w:rPr>
      <w:rFonts w:ascii="Calibri" w:cs="Calibri" w:eastAsia="Calibri" w:hAnsi="Calibri"/>
      <w:b/>
      <w:bCs/>
      <w:color w:val="1F3A5F"/>
      <w:sz w:val="21"/>
      <w:szCs w:val="21"/>
    </w:rPr>
  </w:style>
  <w:style w:type="paragraph" w:styleId="Heading3">
    <w:name w:val="Heading 3"/>
    <w:basedOn w:val="Normal"/>
    <w:next w:val="Normal"/>
    <w:qFormat/>
    <w:pPr>
      <w:spacing w:after="30" w:before="70"/>
      <w:outlineLvl w:val="2"/>
    </w:pPr>
    <w:rPr>
      <w:rFonts w:ascii="Calibri" w:cs="Calibri" w:eastAsia="Calibri" w:hAnsi="Calibri"/>
      <w:b/>
      <w:bCs/>
      <w:color w:val="595959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0ff5fcef579610c72b77b858c1d09fcf04bedd1.png"/><Relationship Id="rId10" Type="http://schemas.openxmlformats.org/officeDocument/2006/relationships/image" Target="media/b426f29ccc788a75124f8475e8ba3ac199de7e3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 Executiva – LogiDistrib</dc:title>
  <dc:creator>Estudante</dc:creator>
  <cp:lastModifiedBy>Un-named</cp:lastModifiedBy>
  <cp:revision>1</cp:revision>
  <dcterms:created xsi:type="dcterms:W3CDTF">2026-10-15T22:11:49.124Z</dcterms:created>
  <dcterms:modified xsi:type="dcterms:W3CDTF">2026-10-15T22:11:49.125Z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