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A5F"/>
          <w:sz w:val="36"/>
          <w:szCs w:val="36"/>
        </w:rPr>
        <w:t xml:space="preserve">Anexo de Utilização de Inteligência Artificial</w:t>
      </w:r>
    </w:p>
    <w:p>
      <w:pPr>
        <w:spacing w:after="6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Questão 9.5 – Key Influencers</w:t>
      </w:r>
      <w:r>
        <w:rPr>
          <w:rFonts w:ascii="Calibri" w:cs="Calibri" w:eastAsia="Calibri" w:hAnsi="Calibri"/>
          <w:sz w:val="20"/>
          <w:szCs w:val="20"/>
        </w:rPr>
        <w:t xml:space="preserve"> · LogiDistrib · máx. 2 páginas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700"/>
        <w:gridCol w:w="2566"/>
      </w:tblGrid>
      <w:tr>
        <w:trPr>
          <w:cantSplit/>
          <w:tblHeader w:val="false"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Estudante: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[NOME]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Código do conjunto de dados: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[CÓDIGO]</w:t>
            </w:r>
          </w:p>
        </w:tc>
        <w:tc>
          <w:tcPr>
            <w:tcW w:type="dxa" w:w="25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8E1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Data: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</w:t>
            </w:r>
            <w:r>
              <w:rPr>
                <w:rFonts w:ascii="Calibri" w:cs="Calibri" w:eastAsia="Calibri" w:hAnsi="Calibri"/>
                <w:sz w:val="18"/>
                <w:szCs w:val="18"/>
                <w:shd w:fill="FFF200" w:color="auto" w:val="clear"/>
              </w:rPr>
              <w:t xml:space="preserve">[dd/mm/aaaa]</w:t>
            </w:r>
          </w:p>
        </w:tc>
      </w:tr>
    </w:tbl>
    <w:p>
      <w:pPr>
        <w:spacing w:after="30" w:before="40" w:line="252"/>
      </w:pPr>
      <w:r>
        <w:rPr>
          <w:rFonts w:ascii="Calibri" w:cs="Calibri" w:eastAsia="Calibri" w:hAnsi="Calibri"/>
          <w:sz w:val="17"/>
          <w:szCs w:val="17"/>
          <w:shd w:fill="FFF200" w:color="auto" w:val="clear"/>
        </w:rPr>
        <w:t xml:space="preserve">[Rever antes de entregar: confirmar que cada interação corresponde ao que realmente fez, acrescentar as correções que fizer ao construir o .pbix e apagar esta linha.]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1. Ferramenta utilizada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600"/>
        <w:gridCol w:w="1266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Ferramenta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Para que foi usada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Data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Claude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(Anthropic), em modo de assistente de código e análise (Claude Code, claude.ai/code) </w:t>
            </w:r>
            <w:r>
              <w:rPr>
                <w:rFonts w:ascii="Calibri" w:cs="Calibri" w:eastAsia="Calibri" w:hAnsi="Calibri"/>
                <w:sz w:val="16"/>
                <w:szCs w:val="16"/>
                <w:shd w:fill="FFF200" w:color="auto" w:val="clear"/>
              </w:rPr>
              <w:t xml:space="preserve">[modelo/versão, se aplicável]</w:t>
            </w:r>
          </w:p>
        </w:tc>
        <w:tc>
          <w:tcPr>
            <w:tcW w:type="dxa" w:w="5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Leitura do enunciado; auditoria dos 9 ficheiros CSV; desenho do modelo e das medidas DAX/Power Query; aprendizagem do visual Key Influencers; cálculos </w:t>
            </w: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independentes de conferência</w:t>
            </w:r>
            <w:r>
              <w:rPr>
                <w:rFonts w:ascii="Calibri" w:cs="Calibri" w:eastAsia="Calibri" w:hAnsi="Calibri"/>
                <w:sz w:val="16"/>
                <w:szCs w:val="16"/>
              </w:rPr>
              <w:t xml:space="preserve"> (Python, SQL); rascunho da nota executiva.</w:t>
            </w:r>
          </w:p>
        </w:tc>
        <w:tc>
          <w:tcPr>
            <w:tcW w:type="dxa" w:w="12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5"/>
              <w:left w:type="dxa" w:w="70"/>
              <w:bottom w:type="dxa" w:w="25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>10/10/2026</w:t>
            </w:r>
          </w:p>
        </w:tc>
      </w:tr>
    </w:tbl>
    <w:p>
      <w:pPr>
        <w:spacing w:after="35" w:before="30" w:line="252"/>
      </w:pPr>
      <w:r>
        <w:rPr>
          <w:rFonts w:ascii="Calibri" w:cs="Calibri" w:eastAsia="Calibri" w:hAnsi="Calibri"/>
          <w:sz w:val="17"/>
          <w:szCs w:val="17"/>
        </w:rPr>
        <w:t xml:space="preserve">Os valores calculados fora do Power BI serviram apenas para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conferir</w:t>
      </w:r>
      <w:r>
        <w:rPr>
          <w:rFonts w:ascii="Calibri" w:cs="Calibri" w:eastAsia="Calibri" w:hAnsi="Calibri"/>
          <w:sz w:val="17"/>
          <w:szCs w:val="17"/>
        </w:rPr>
        <w:t xml:space="preserve"> resultados; o modelo, as colunas calculadas e as medidas foram construídos no Power BI e nada foi importado de ferramentas externas.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2. Quatro interações particularmente importantes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100"/>
        <w:gridCol w:w="3900"/>
        <w:gridCol w:w="2416"/>
      </w:tblGrid>
      <w:tr>
        <w:trPr>
          <w:cantSplit/>
          <w:tblHeader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perguntei (resumo)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a IA respondeu (resumo)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5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Como usei / verifiquei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1. Aprender o visual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(9.1)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O visual Key Influencers não foi dado nas aulas: «explica como funciona e como configurá-lo para saber o que explica as entregas atrasadas, com os meus 9 ficheiros».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É um modelo estatístico (regressão logística) que compara cada categoria com todas as outras. O campo «Analisar» tem de ser uma </w:t>
            </w: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coluna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(não uma medida): criar </w:t>
            </w:r>
            <w:r>
              <w:rPr>
                <w:rFonts w:ascii="Consolas" w:cs="Consolas" w:eastAsia="Consolas" w:hAnsi="Consolas"/>
                <w:color w:val="7A1F1F"/>
                <w:sz w:val="15"/>
                <w:szCs w:val="15"/>
              </w:rPr>
              <w:t xml:space="preserve">Entrega Atrasada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(Atrasada / No prazo) ao nível da encomenda; escolher variáveis explicativas; ler «x vezes mais provável»; limitações (amostra mínima, associação ≠ causa).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Criei a coluna e o visual no Power BI, li os fatores e confrontei-os com a matriz independente de 9.3.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2. Fuga de informação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(9.2)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«Que variáveis não devo usar como explicativas por fuga de informação, circularidade ou por não existirem no momento da decisão?»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Propôs excluir </w:t>
            </w:r>
            <w:r>
              <w:rPr>
                <w:rFonts w:ascii="Consolas" w:cs="Consolas" w:eastAsia="Consolas" w:hAnsi="Consolas"/>
                <w:color w:val="7A1F1F"/>
                <w:sz w:val="15"/>
                <w:szCs w:val="15"/>
              </w:rPr>
              <w:t xml:space="preserve">tentativas_entrega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5"/>
                <w:szCs w:val="15"/>
              </w:rPr>
              <w:t xml:space="preserve">custo_transporte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7A1F1F"/>
                <w:sz w:val="15"/>
                <w:szCs w:val="15"/>
              </w:rPr>
              <w:t xml:space="preserve">data_entrega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/atraso em dias e </w:t>
            </w:r>
            <w:r>
              <w:rPr>
                <w:rFonts w:ascii="Consolas" w:cs="Consolas" w:eastAsia="Consolas" w:hAnsi="Consolas"/>
                <w:color w:val="7A1F1F"/>
                <w:sz w:val="15"/>
                <w:szCs w:val="15"/>
              </w:rPr>
              <w:t xml:space="preserve">data_expedicao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/dias de processamento, com evidência nos dados: ≥ 2 tentativas → 57 % atrasadas; custo médio 8,70 € → 13,33 € → 17,35 € com 1/2/3 tentativas (re-entrega).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Reproduzi a tabela por nº de tentativas e defini o momento de decisão: o registo da encomenda.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3. Validar e interpretar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 (9.3, 9.4)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«Como verifico no Power BI o padrão do visual e o que posso concluir sobre causa?»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Matriz de % atrasadas por região × serviço, transportadora e centro (o padrão mantém-se: 2,1×–2,4×); olhar aos 29 clientes do Interior um a um; hipótese alternativa: a data prometida só depende do serviço, mas o trânsito real no Interior é 0,4 dias maior; avisou que o poder explicativo é baixo (mesmo no Interior, 76 % das entregas chegam a tempo).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Construí a matriz, comparei-a com o visual e testei a hipótese comparando trânsito real e prometido.</w:t>
            </w:r>
          </w:p>
        </w:tc>
      </w:tr>
      <w:tr>
        <w:trPr>
          <w:cantSplit/>
          <w:tblHeader w:val="false"/>
        </w:trPr>
        <w:tc>
          <w:tcPr>
            <w:tcW w:type="dxa" w:w="1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4. Conferir os cálculos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«Recalcula os indicadores-chave por métodos diferentes antes de eu os implementar no Power BI.»</w:t>
            </w:r>
          </w:p>
        </w:tc>
        <w:tc>
          <w:tcPr>
            <w:tcW w:type="dxa" w:w="3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Cálculo independente em pandas, SQL e numpy, com resultados coincidentes (ex.: 93,80 % processadas ≤ 4 d.u.). Revelou que a convenção de contagem de dias úteis muda o resultado: 93,8 % / 91,1 % / 81,4 % / 68,9 % consoante a convenção.</w:t>
            </w:r>
          </w:p>
        </w:tc>
        <w:tc>
          <w:tcPr>
            <w:tcW w:type="dxa" w:w="2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Comparei as minhas medidas DAX com estes valores e documentei a convenção na nota (Q3).</w:t>
            </w:r>
          </w:p>
        </w:tc>
      </w:tr>
    </w:tbl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3. Sugestões da IA corrigidas, rejeitadas ou melhoradas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Corrigida – dias úteis (Q3).</w:t>
      </w:r>
      <w:r>
        <w:rPr>
          <w:rFonts w:ascii="Calibri" w:cs="Calibri" w:eastAsia="Calibri" w:hAnsi="Calibri"/>
          <w:sz w:val="20"/>
          <w:szCs w:val="20"/>
        </w:rPr>
        <w:t xml:space="preserve"> A primeira sugestão usava NETWORKDAYS (que não existe em DAX nem em Power Query) e contava o dia útil da expedição, o que penalizava em 1 dia as 2 130 encomendas feitas ao fim de semana (19,9 %): a distribuição de dias de processamento aparecia deslocada. Foi substituída por um contador de dias úteis no calendário (du_antes) e pela convenção [encomenda ; expedição[.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Melhorada – custo logístico por produto (Q2).</w:t>
      </w:r>
      <w:r>
        <w:rPr>
          <w:rFonts w:ascii="Calibri" w:cs="Calibri" w:eastAsia="Calibri" w:hAnsi="Calibri"/>
          <w:sz w:val="20"/>
          <w:szCs w:val="20"/>
        </w:rPr>
        <w:t xml:space="preserve"> A IA propôs devolver BLANK quando o indicador é filtrado por produto; melhorei-o alocando o custo logístico às linhas pelo peso, para que a soma reconcilie com o total em qualquer dimensão.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Ajustada – variáveis do Key Influencers (Q9.2).</w:t>
      </w:r>
      <w:r>
        <w:rPr>
          <w:rFonts w:ascii="Calibri" w:cs="Calibri" w:eastAsia="Calibri" w:hAnsi="Calibri"/>
          <w:sz w:val="20"/>
          <w:szCs w:val="20"/>
        </w:rPr>
        <w:t xml:space="preserve"> A lista inicial de variáveis a excluir não incluía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custo_transporte</w:t>
      </w:r>
      <w:r>
        <w:rPr>
          <w:rFonts w:ascii="Calibri" w:cs="Calibri" w:eastAsia="Calibri" w:hAnsi="Calibri"/>
          <w:sz w:val="20"/>
          <w:szCs w:val="20"/>
        </w:rPr>
        <w:t xml:space="preserve">; a análise mostrou que contém o custo de re-entregas e foi excluída; o prazo prometido foi omitido por ser redundante com o tipo de serviço.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Corrigida – DAX: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ALL(encomendas)</w:t>
      </w:r>
      <w:r>
        <w:rPr>
          <w:rFonts w:ascii="Calibri" w:cs="Calibri" w:eastAsia="Calibri" w:hAnsi="Calibri"/>
          <w:sz w:val="20"/>
          <w:szCs w:val="20"/>
        </w:rPr>
        <w:t xml:space="preserve"> não limpa filtros vindos do calendário; passou a </w:t>
      </w:r>
      <w:r>
        <w:rPr>
          <w:rFonts w:ascii="Consolas" w:cs="Consolas" w:eastAsia="Consolas" w:hAnsi="Consolas"/>
          <w:color w:val="7A1F1F"/>
          <w:sz w:val="18"/>
          <w:szCs w:val="18"/>
        </w:rPr>
        <w:t xml:space="preserve">ALL()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B08D2F" w:sz="6" w:space="1"/>
        </w:pBdr>
        <w:spacing w:after="60" w:before="150"/>
      </w:pPr>
      <w:r>
        <w:rPr>
          <w:rFonts w:ascii="Calibri" w:cs="Calibri" w:eastAsia="Calibri" w:hAnsi="Calibri"/>
          <w:b/>
          <w:bCs/>
          <w:color w:val="1F3A5F"/>
          <w:sz w:val="25"/>
          <w:szCs w:val="25"/>
        </w:rPr>
        <w:t xml:space="preserve">4. O que aprendi</w:t>
      </w:r>
    </w:p>
    <w:p>
      <w:pPr>
        <w:spacing w:after="2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Key Influencers:</w:t>
      </w:r>
      <w:r>
        <w:rPr>
          <w:rFonts w:ascii="Calibri" w:cs="Calibri" w:eastAsia="Calibri" w:hAnsi="Calibri"/>
          <w:sz w:val="20"/>
          <w:szCs w:val="20"/>
        </w:rPr>
        <w:t xml:space="preserve"> o visual ajusta um modelo e compara cada categoria com todas as restantes; mostra associações, não causas; é sensível a variáveis redundantes e a fugas de informação, e um fator importante pode explicar pouco do fenómeno (mesmo no Interior, a maioria das entregas chega a tempo). Por isso validei sempre com uma análise independente (matriz) e por estratos (serviço, transportadora, centro) para excluir confundidores.</w:t>
      </w:r>
    </w:p>
    <w:p>
      <w:pPr>
        <w:spacing w:after="55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Rigor com a IA:</w:t>
      </w:r>
      <w:r>
        <w:rPr>
          <w:rFonts w:ascii="Calibri" w:cs="Calibri" w:eastAsia="Calibri" w:hAnsi="Calibri"/>
          <w:sz w:val="20"/>
          <w:szCs w:val="20"/>
        </w:rPr>
        <w:t xml:space="preserve"> a ferramenta acelera, mas errou em detalhes (função inexistente em DAX, contexto de filtro, convenção de dias úteis). Cada medida foi verificada contra um cálculo independente e as convenções (dias úteis, período comparável, custo logístico por produto) ficaram explícitas e justificadas, porque mudam as conclusões.</w:t>
      </w:r>
    </w:p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866"/>
      </w:tabs>
    </w:pPr>
    <w:r>
      <w:rPr>
        <w:rFonts w:ascii="Calibri" w:cs="Calibri" w:eastAsia="Calibri" w:hAnsi="Calibri"/>
        <w:color w:val="595959"/>
        <w:sz w:val="15"/>
        <w:szCs w:val="15"/>
      </w:rPr>
      <w:t xml:space="preserve">Ferramentas para Análise de Dados (2MAG09) – Trabalho Individual Power BI</w:t>
    </w:r>
    <w:r>
      <w:rPr>
        <w:rFonts w:ascii="Calibri" w:cs="Calibri" w:eastAsia="Calibri" w:hAnsi="Calibri"/>
        <w:color w:val="595959"/>
        <w:sz w:val="15"/>
        <w:szCs w:val="15"/>
      </w:rPr>
      <w:t xml:space="preserve">	Anexo de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50"/>
      <w:outlineLvl w:val="0"/>
    </w:pPr>
    <w:rPr>
      <w:rFonts w:ascii="Calibri" w:cs="Calibri" w:eastAsia="Calibri" w:hAnsi="Calibri"/>
      <w:b/>
      <w:bCs/>
      <w:color w:val="1F3A5F"/>
      <w:sz w:val="25"/>
      <w:szCs w:val="25"/>
    </w:rPr>
  </w:style>
  <w:style w:type="paragraph" w:styleId="Heading2">
    <w:name w:val="Heading 2"/>
    <w:basedOn w:val="Normal"/>
    <w:next w:val="Normal"/>
    <w:qFormat/>
    <w:pPr>
      <w:spacing w:after="40" w:before="90"/>
      <w:outlineLvl w:val="1"/>
    </w:pPr>
    <w:rPr>
      <w:rFonts w:ascii="Calibri" w:cs="Calibri" w:eastAsia="Calibri" w:hAnsi="Calibri"/>
      <w:b/>
      <w:bCs/>
      <w:color w:val="1F3A5F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30" w:before="70"/>
      <w:outlineLvl w:val="2"/>
    </w:pPr>
    <w:rPr>
      <w:rFonts w:ascii="Calibri" w:cs="Calibri" w:eastAsia="Calibri" w:hAnsi="Calibri"/>
      <w:b/>
      <w:bCs/>
      <w:color w:val="59595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 de utilização de IA – LogiDistrib</dc:title>
  <dc:creator>Estudante</dc:creator>
  <cp:lastModifiedBy>Un-named</cp:lastModifiedBy>
  <cp:revision>1</cp:revision>
  <dcterms:created xsi:type="dcterms:W3CDTF">2026-10-10T16:56:53.138Z</dcterms:created>
  <dcterms:modified xsi:type="dcterms:W3CDTF">2026-10-10T16:56:53.138Z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