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30"/>
        </w:rPr>
        <w:t>Algoritmos de Apoio à Tomada de Decisão</w:t>
      </w:r>
    </w:p>
    <w:p>
      <w:pPr>
        <w:jc w:val="center"/>
      </w:pPr>
      <w:r>
        <w:rPr>
          <w:b/>
          <w:i w:val="0"/>
          <w:sz w:val="44"/>
        </w:rPr>
        <w:t>Classificação de produtos com desconto:</w:t>
        <w:br/>
        <w:t>comparação de algoritmos de aprendizagem automática segundo o CRISP-DM</w:t>
      </w:r>
    </w:p>
    <w:p/>
    <w:p/>
    <w:p>
      <w:pPr>
        <w:jc w:val="center"/>
      </w:pPr>
      <w:r>
        <w:rPr>
          <w:b w:val="0"/>
          <w:i w:val="0"/>
          <w:sz w:val="26"/>
        </w:rPr>
        <w:t>Trabalho prático</w:t>
      </w:r>
    </w:p>
    <w:p>
      <w:pPr>
        <w:jc w:val="center"/>
      </w:pPr>
      <w:r>
        <w:rPr>
          <w:b w:val="0"/>
          <w:i w:val="0"/>
          <w:sz w:val="24"/>
        </w:rPr>
        <w:t>[Nome(s) e número(s) de estudante]</w:t>
      </w:r>
    </w:p>
    <w:p/>
    <w:p>
      <w:pPr>
        <w:jc w:val="center"/>
      </w:pPr>
      <w:r>
        <w:rPr>
          <w:b w:val="0"/>
          <w:i w:val="0"/>
          <w:sz w:val="24"/>
        </w:rPr>
        <w:t>Docente: Bruno Veloso</w:t>
      </w:r>
    </w:p>
    <w:p>
      <w:pPr>
        <w:jc w:val="center"/>
      </w:pPr>
      <w:r>
        <w:rPr>
          <w:b w:val="0"/>
          <w:i w:val="0"/>
          <w:sz w:val="24"/>
        </w:rPr>
        <w:t>Faculdade de Economia da Universidade do Porto (FEP)</w:t>
        <w:br/>
        <w:t>Ano letivo 2026/2027</w:t>
      </w:r>
    </w:p>
    <w:p/>
    <w:p>
      <w:pPr>
        <w:jc w:val="center"/>
      </w:pPr>
      <w:r>
        <w:rPr>
          <w:b w:val="0"/>
          <w:i w:val="0"/>
          <w:sz w:val="24"/>
        </w:rPr>
        <w:t>Outubro de 2026</w:t>
      </w:r>
    </w:p>
    <w:p>
      <w:r>
        <w:br w:type="page"/>
      </w:r>
    </w:p>
    <w:p>
      <w:pPr>
        <w:pStyle w:val="Heading1"/>
      </w:pPr>
      <w:r>
        <w:t>Índice</w:t>
      </w:r>
    </w:p>
    <w:p>
      <w:pPr>
        <w:tabs>
          <w:tab w:pos="9071" w:val="right" w:leader="dot"/>
        </w:tabs>
        <w:spacing w:after="40"/>
        <w:ind w:left="0"/>
      </w:pPr>
      <w:r>
        <w:rPr>
          <w:b/>
        </w:rPr>
        <w:t>Resumo / Abstract</w:t>
        <w:tab/>
        <w:t>3</w:t>
      </w:r>
    </w:p>
    <w:p>
      <w:pPr>
        <w:tabs>
          <w:tab w:pos="9071" w:val="right" w:leader="dot"/>
        </w:tabs>
        <w:spacing w:after="40"/>
        <w:ind w:left="0"/>
      </w:pPr>
      <w:r>
        <w:rPr>
          <w:b/>
        </w:rPr>
        <w:t>1. Introdução</w:t>
        <w:tab/>
        <w:t>4</w:t>
      </w:r>
    </w:p>
    <w:p>
      <w:pPr>
        <w:tabs>
          <w:tab w:pos="9071" w:val="right" w:leader="dot"/>
        </w:tabs>
        <w:spacing w:after="40"/>
        <w:ind w:left="0"/>
      </w:pPr>
      <w:r>
        <w:rPr>
          <w:b/>
        </w:rPr>
        <w:t>2. Metodologia</w:t>
        <w:tab/>
        <w:t>5</w:t>
      </w:r>
    </w:p>
    <w:p>
      <w:pPr>
        <w:tabs>
          <w:tab w:pos="9071" w:val="right" w:leader="dot"/>
        </w:tabs>
        <w:spacing w:after="40"/>
        <w:ind w:left="454"/>
      </w:pPr>
      <w:r>
        <w:rPr>
          <w:b w:val="0"/>
        </w:rPr>
        <w:t>2.1 Compreensão do negócio (Business Understanding)</w:t>
        <w:tab/>
        <w:t>5</w:t>
      </w:r>
    </w:p>
    <w:p>
      <w:pPr>
        <w:tabs>
          <w:tab w:pos="9071" w:val="right" w:leader="dot"/>
        </w:tabs>
        <w:spacing w:after="40"/>
        <w:ind w:left="454"/>
      </w:pPr>
      <w:r>
        <w:rPr>
          <w:b w:val="0"/>
        </w:rPr>
        <w:t>2.2 Compreensão dos dados (Data Understanding)</w:t>
        <w:tab/>
        <w:t>5</w:t>
      </w:r>
    </w:p>
    <w:p>
      <w:pPr>
        <w:tabs>
          <w:tab w:pos="9071" w:val="right" w:leader="dot"/>
        </w:tabs>
        <w:spacing w:after="40"/>
        <w:ind w:left="454"/>
      </w:pPr>
      <w:r>
        <w:rPr>
          <w:b w:val="0"/>
        </w:rPr>
        <w:t>2.3 Preparação dos dados (Data Preparation)</w:t>
        <w:tab/>
        <w:t>14</w:t>
      </w:r>
    </w:p>
    <w:p>
      <w:pPr>
        <w:tabs>
          <w:tab w:pos="9071" w:val="right" w:leader="dot"/>
        </w:tabs>
        <w:spacing w:after="40"/>
        <w:ind w:left="454"/>
      </w:pPr>
      <w:r>
        <w:rPr>
          <w:b w:val="0"/>
        </w:rPr>
        <w:t>2.4 Modelação (Modeling)</w:t>
        <w:tab/>
        <w:t>19</w:t>
      </w:r>
    </w:p>
    <w:p>
      <w:pPr>
        <w:tabs>
          <w:tab w:pos="9071" w:val="right" w:leader="dot"/>
        </w:tabs>
        <w:spacing w:after="40"/>
        <w:ind w:left="454"/>
      </w:pPr>
      <w:r>
        <w:rPr>
          <w:b w:val="0"/>
        </w:rPr>
        <w:t>2.5 Avaliação (Evaluation)</w:t>
        <w:tab/>
        <w:t>21</w:t>
      </w:r>
    </w:p>
    <w:p>
      <w:pPr>
        <w:tabs>
          <w:tab w:pos="9071" w:val="right" w:leader="dot"/>
        </w:tabs>
        <w:spacing w:after="40"/>
        <w:ind w:left="0"/>
      </w:pPr>
      <w:r>
        <w:rPr>
          <w:b/>
        </w:rPr>
        <w:t>3. Resultados</w:t>
        <w:tab/>
        <w:t>22</w:t>
      </w:r>
    </w:p>
    <w:p>
      <w:pPr>
        <w:tabs>
          <w:tab w:pos="9071" w:val="right" w:leader="dot"/>
        </w:tabs>
        <w:spacing w:after="40"/>
        <w:ind w:left="454"/>
      </w:pPr>
      <w:r>
        <w:rPr>
          <w:b w:val="0"/>
        </w:rPr>
        <w:t>3.1 Comparação dos modelos</w:t>
        <w:tab/>
        <w:t>22</w:t>
      </w:r>
    </w:p>
    <w:p>
      <w:pPr>
        <w:tabs>
          <w:tab w:pos="9071" w:val="right" w:leader="dot"/>
        </w:tabs>
        <w:spacing w:after="40"/>
        <w:ind w:left="454"/>
      </w:pPr>
      <w:r>
        <w:rPr>
          <w:b w:val="0"/>
        </w:rPr>
        <w:t>3.2 Análise por modelo</w:t>
        <w:tab/>
        <w:t>24</w:t>
      </w:r>
    </w:p>
    <w:p>
      <w:pPr>
        <w:tabs>
          <w:tab w:pos="9071" w:val="right" w:leader="dot"/>
        </w:tabs>
        <w:spacing w:after="40"/>
        <w:ind w:left="454"/>
      </w:pPr>
      <w:r>
        <w:rPr>
          <w:b w:val="0"/>
        </w:rPr>
        <w:t>3.3 Importância das variáveis</w:t>
        <w:tab/>
        <w:t>28</w:t>
      </w:r>
    </w:p>
    <w:p>
      <w:pPr>
        <w:tabs>
          <w:tab w:pos="9071" w:val="right" w:leader="dot"/>
        </w:tabs>
        <w:spacing w:after="40"/>
        <w:ind w:left="454"/>
      </w:pPr>
      <w:r>
        <w:rPr>
          <w:b w:val="0"/>
        </w:rPr>
        <w:t>3.4 Verificações de robustez</w:t>
        <w:tab/>
        <w:t>29</w:t>
      </w:r>
    </w:p>
    <w:p>
      <w:pPr>
        <w:tabs>
          <w:tab w:pos="9071" w:val="right" w:leader="dot"/>
        </w:tabs>
        <w:spacing w:after="40"/>
        <w:ind w:left="454"/>
      </w:pPr>
      <w:r>
        <w:rPr>
          <w:b w:val="0"/>
        </w:rPr>
        <w:t>3.5 Modelo final e submissão</w:t>
        <w:tab/>
        <w:t>30</w:t>
      </w:r>
    </w:p>
    <w:p>
      <w:pPr>
        <w:tabs>
          <w:tab w:pos="9071" w:val="right" w:leader="dot"/>
        </w:tabs>
        <w:spacing w:after="40"/>
        <w:ind w:left="0"/>
      </w:pPr>
      <w:r>
        <w:rPr>
          <w:b/>
        </w:rPr>
        <w:t>4. Conclusão</w:t>
        <w:tab/>
        <w:t>31</w:t>
      </w:r>
    </w:p>
    <w:p>
      <w:pPr>
        <w:tabs>
          <w:tab w:pos="9071" w:val="right" w:leader="dot"/>
        </w:tabs>
        <w:spacing w:after="40"/>
        <w:ind w:left="0"/>
      </w:pPr>
      <w:r>
        <w:rPr>
          <w:b/>
        </w:rPr>
        <w:t>Referências</w:t>
        <w:tab/>
        <w:t>31</w:t>
      </w:r>
    </w:p>
    <w:p>
      <w:pPr>
        <w:tabs>
          <w:tab w:pos="9071" w:val="right" w:leader="dot"/>
        </w:tabs>
        <w:spacing w:after="40"/>
        <w:ind w:left="0"/>
      </w:pPr>
      <w:r>
        <w:rPr>
          <w:b/>
        </w:rPr>
        <w:t>Anexo A – Hiperparâmetros e grelhas de pesquisa</w:t>
        <w:tab/>
        <w:t>33</w:t>
      </w:r>
    </w:p>
    <w:p>
      <w:pPr>
        <w:tabs>
          <w:tab w:pos="9071" w:val="right" w:leader="dot"/>
        </w:tabs>
        <w:spacing w:after="40"/>
        <w:ind w:left="0"/>
      </w:pPr>
      <w:r>
        <w:rPr>
          <w:b/>
        </w:rPr>
        <w:t>Anexo B – Estrutura do código e reprodutibilidade</w:t>
        <w:tab/>
        <w:t>34</w:t>
      </w:r>
    </w:p>
    <w:p>
      <w:r>
        <w:br w:type="page"/>
      </w:r>
    </w:p>
    <w:p>
      <w:pPr>
        <w:pStyle w:val="Heading1"/>
      </w:pPr>
      <w:r>
        <w:t>Resumo / Abstract</w:t>
      </w:r>
    </w:p>
    <w:p>
      <w:pPr>
        <w:jc w:val="both"/>
      </w:pPr>
      <w:r>
        <w:rPr>
          <w:b w:val="0"/>
          <w:i w:val="0"/>
        </w:rPr>
      </w:r>
      <w:r>
        <w:rPr>
          <w:b/>
          <w:i w:val="0"/>
        </w:rPr>
        <w:t>Resumo.</w:t>
      </w:r>
      <w:r>
        <w:rPr>
          <w:b w:val="0"/>
          <w:i w:val="0"/>
        </w:rPr>
        <w:t xml:space="preserve"> Este trabalho aborda um problema de classificação binária em que se pretende prever se um produto, vendido em diversos estabelecimentos, se encontra com desconto (y = 1) ou sem desconto (y = 0), a partir de 17 variáveis discretas (d) e 9 variáveis contínuas (x). Seguiu-se a metodologia CRISP-DM. A análise exploratória dos 3 676 registos de treino revelou um desequilíbrio moderado de classes (20,6% de produtos com desconto), distribuições assimétricas em várias variáveis contínuas, 49 valores em falta em x9 – todos associados a y = 0 – e 170 registos duplicados com etiqueta consistente. Na preparação dos dados trataram-se os valores em falta (mediana e indicador de ausência), avaliaram-se os valores atípicos, o desequilíbrio (sobreamostragem aleatória, SMOTE, subamostragem e ponderação de classes) e a redundância entre variáveis, e o conjunto de treino foi dividido em treino interno (80%) e validação (20%), com validação cruzada estratificada de 5 folds no treino interno. Foram afinados e comparados doze algoritmos – KNN, K-Means (como classificador), árvore de decisão, regressão logística, SVM, Naive Bayes, MLP, Random Forest, Bagging, AdaBoost, Gradient Boosting e Extra Trees – através de accuracy, precision, recall e F-measure. Os métodos baseados em conjuntos de árvores foram claramente superiores: obtiveram entre 94,6% e 95,9% de accuracy na validação, contra 88,7% do KNN, 87,9% do SVM, 80,6% da regressão logística, 79,9% do K-Means, 78,9% do MLP e 53,3% do Naive Bayes. O modelo selecionado por validação cruzada (AdaBoost, accuracy de 95,1% em CV) foi reajustado com todos os dados de treino e utilizado para gerar o ficheiro de submissão. As diferenças entre os cinco melhores modelos são, no entanto, inferiores ao erro-padrão das estimativas, pelo que não se pode afirmar que um deles seja superior aos restantes.</w:t>
      </w:r>
    </w:p>
    <w:p>
      <w:pPr>
        <w:jc w:val="both"/>
      </w:pPr>
      <w:r>
        <w:rPr>
          <w:b w:val="0"/>
          <w:i w:val="0"/>
          <w:sz w:val="20"/>
        </w:rPr>
      </w:r>
      <w:r>
        <w:rPr>
          <w:b/>
          <w:i w:val="0"/>
          <w:sz w:val="20"/>
        </w:rPr>
        <w:t>Palavras-chave:</w:t>
      </w:r>
      <w:r>
        <w:rPr>
          <w:b w:val="0"/>
          <w:i w:val="0"/>
          <w:sz w:val="20"/>
        </w:rPr>
        <w:t xml:space="preserve"> classificação, CRISP-DM, desequilíbrio de classes, ensembles, boosting, bagging, SMOTE.</w:t>
      </w:r>
    </w:p>
    <w:p>
      <w:pPr>
        <w:jc w:val="both"/>
      </w:pPr>
      <w:r>
        <w:rPr>
          <w:b w:val="0"/>
          <w:i w:val="0"/>
        </w:rPr>
      </w:r>
      <w:r>
        <w:rPr>
          <w:b/>
          <w:i w:val="0"/>
        </w:rPr>
        <w:t>Abstract.</w:t>
      </w:r>
      <w:r>
        <w:rPr>
          <w:b w:val="0"/>
          <w:i w:val="0"/>
        </w:rPr>
        <w:t xml:space="preserve"> This work addresses a binary classification problem: predicting whether a product sold in several establishments is on sale (y = 1) or not (y = 0), using 17 discrete (d) and 9 continuous (x) variables. The CRISP-DM process was followed. Exploratory analysis of the 3,676 training records showed a moderate class imbalance (20.6% positives), skewed continuous variables, 49 missing values in x9 – all of them with y = 0 – and 170 duplicated records with consistent labels. Data preparation covered missing values (median imputation plus a missingness indicator), outliers, class imbalance (random oversampling, SMOTE, undersampling and class weights) and feature redundancy, and the training data were split into an inner training set (80%) and a hold-out validation set (20%), with stratified 5-fold cross-validation on the former. Twelve algorithms – KNN, K-Means (used as a classifier), decision tree, logistic regression, SVM, Naive Bayes, MLP, Random Forest, Bagging, AdaBoost, Gradient Boosting and Extra Trees – were tuned and compared using accuracy, precision, recall and F-measure. Tree ensembles clearly outperformed the other families, reaching 94.6%–95.9% validation accuracy versus 88.7% for KNN, 87.9% for the SVM, 80.6% for logistic regression, 79.9% for K-Means, 78.9% for the MLP and 53.3% for Naive Bayes. The model selected by cross-validation (AdaBoost, 95.1% CV accuracy) was refitted on the full training set to produce the submission file. Differences among the five best models are smaller than the standard error of the estimates, so no single one can be declared superior.</w:t>
      </w:r>
    </w:p>
    <w:p>
      <w:pPr>
        <w:jc w:val="both"/>
      </w:pPr>
      <w:r>
        <w:rPr>
          <w:b w:val="0"/>
          <w:i w:val="0"/>
          <w:sz w:val="20"/>
        </w:rPr>
      </w:r>
      <w:r>
        <w:rPr>
          <w:b/>
          <w:i w:val="0"/>
          <w:sz w:val="20"/>
        </w:rPr>
        <w:t>Keywords:</w:t>
      </w:r>
      <w:r>
        <w:rPr>
          <w:b w:val="0"/>
          <w:i w:val="0"/>
          <w:sz w:val="20"/>
        </w:rPr>
        <w:t xml:space="preserve"> classification, CRISP-DM, class imbalance, ensembles, boosting, bagging, SMOTE.</w:t>
      </w:r>
    </w:p>
    <w:p>
      <w:r>
        <w:br w:type="page"/>
      </w:r>
    </w:p>
    <w:p>
      <w:pPr>
        <w:pStyle w:val="Heading1"/>
      </w:pPr>
      <w:r>
        <w:t>1. Introdução</w:t>
      </w:r>
    </w:p>
    <w:p>
      <w:pPr>
        <w:jc w:val="both"/>
      </w:pPr>
      <w:r>
        <w:rPr>
          <w:b w:val="0"/>
          <w:i w:val="0"/>
        </w:rPr>
        <w:t>A decisão de aplicar um desconto a um produto é um problema recorrente do retalho: depende das características do produto, do estabelecimento e do contexto de venda, e é muitas vezes difícil de explicitar numa regra simples. Um modelo que consiga reconhecer, a partir dessas características, se um produto se encontra em promoção é útil para auditar políticas comerciais, detetar inconsistências nos dados publicados e apoiar a monitorização de preços. Este trabalho, desenvolvido no âmbito da unidade curricular de Algoritmos de Apoio à Tomada de Decisão, tem como objetivo construir e comparar classificadores capazes de prever essa condição.</w:t>
      </w:r>
    </w:p>
    <w:p>
      <w:pPr>
        <w:pStyle w:val="Heading2"/>
      </w:pPr>
      <w:r>
        <w:t>1.1 Descrição do problema</w:t>
      </w:r>
    </w:p>
    <w:p>
      <w:pPr>
        <w:jc w:val="both"/>
      </w:pPr>
      <w:r>
        <w:rPr>
          <w:b w:val="0"/>
          <w:i w:val="0"/>
        </w:rPr>
        <w:t xml:space="preserve">Os dados publicados contêm informação sobre um conjunto de produtos em diferentes estabelecimentos, que ocasionalmente são vendidos com desconto. A variável a prever é y (y = 1 significa «com desconto»); todas as restantes podem ser usadas como preditoras, com exceção de i, o número do registo, que deve ser ignorado. As variáveis com prefixo d são discretas (aqui, todas binárias) e as variáveis com prefixo x são contínuas (algumas assumem poucos valores inteiros). O enunciado fornece dois ficheiros: </w:t>
      </w:r>
      <w:r>
        <w:rPr>
          <w:b/>
          <w:i w:val="0"/>
        </w:rPr>
        <w:t>training.csv</w:t>
      </w:r>
      <w:r>
        <w:rPr>
          <w:b w:val="0"/>
          <w:i w:val="0"/>
        </w:rPr>
        <w:t xml:space="preserve">, com 3 676 registos e a variável y conhecida, e </w:t>
      </w:r>
      <w:r>
        <w:rPr>
          <w:b/>
          <w:i w:val="0"/>
        </w:rPr>
        <w:t>task.csv</w:t>
      </w:r>
      <w:r>
        <w:rPr>
          <w:b w:val="0"/>
          <w:i w:val="0"/>
        </w:rPr>
        <w:t>, com 3 676 registos em que y é desconhecido e tem de ser previsto. A métrica de avaliação da competição é a accuracy e a submissão deve ser um ficheiro com as colunas i e y.</w:t>
      </w:r>
    </w:p>
    <w:p>
      <w:pPr>
        <w:pStyle w:val="Heading2"/>
      </w:pPr>
      <w:r>
        <w:t>1.2 Objetivos e contributos</w:t>
      </w:r>
    </w:p>
    <w:p>
      <w:pPr>
        <w:pStyle w:val="ListBullet"/>
        <w:spacing w:after="40"/>
        <w:jc w:val="both"/>
      </w:pPr>
      <w:r>
        <w:rPr>
          <w:b w:val="0"/>
        </w:rPr>
        <w:t>Realizar uma análise exploratória completa (estatística descritiva, histogramas, diagramas de caixa, correlações e testes de associação com o alvo).</w:t>
      </w:r>
    </w:p>
    <w:p>
      <w:pPr>
        <w:pStyle w:val="ListBullet"/>
        <w:spacing w:after="40"/>
        <w:jc w:val="both"/>
      </w:pPr>
      <w:r>
        <w:rPr>
          <w:b w:val="0"/>
        </w:rPr>
        <w:t>Preparar os dados de forma rigorosa: valores em falta, valores atípicos, desequilíbrio de classes, redundância de variáveis e criação de dados de validação cruzada, garantindo que nenhum passo usa informação do conjunto de validação.</w:t>
      </w:r>
    </w:p>
    <w:p>
      <w:pPr>
        <w:pStyle w:val="ListBullet"/>
        <w:spacing w:after="40"/>
        <w:jc w:val="both"/>
      </w:pPr>
      <w:r>
        <w:rPr>
          <w:b w:val="0"/>
        </w:rPr>
        <w:t>Treinar, afinar e comparar KNN, K-Means, árvores de decisão, regressão logística, SVM, Naive Bayes, redes neuronais (MLP), Random Forest, Bagging e Boosting, com uma tabela comparativa de accuracy, precision, recall e F-measure.</w:t>
      </w:r>
    </w:p>
    <w:p>
      <w:pPr>
        <w:pStyle w:val="ListBullet"/>
        <w:spacing w:after="40"/>
        <w:jc w:val="both"/>
      </w:pPr>
      <w:r>
        <w:rPr>
          <w:b w:val="0"/>
        </w:rPr>
        <w:t>Selecionar o modelo final com base em validação cruzada, avaliar a sua robustez e produzir as previsões para o ficheiro task.csv.</w:t>
      </w:r>
    </w:p>
    <w:p>
      <w:pPr>
        <w:pStyle w:val="Heading2"/>
      </w:pPr>
      <w:r>
        <w:t>1.3 Estrutura do documento</w:t>
      </w:r>
    </w:p>
    <w:p>
      <w:pPr>
        <w:jc w:val="both"/>
      </w:pPr>
      <w:r>
        <w:rPr>
          <w:b w:val="0"/>
          <w:i w:val="0"/>
        </w:rPr>
        <w:t>O capítulo 2 descreve a metodologia segundo as seis fases do CRISP-DM (Chapman et al., 2000) – as cinco primeiras ocupam as subsecções 2.1 a 2.5 e a fase de implementação (deployment) é discutida no capítulo 4. O capítulo 3 apresenta os resultados, o capítulo 4 as conclusões, limitações e trabalho futuro. Os anexos reúnem os hiperparâmetros e a descrição do código, que permite reproduzir todos os resultados.</w:t>
      </w:r>
    </w:p>
    <w:p>
      <w:r>
        <w:br w:type="page"/>
      </w:r>
    </w:p>
    <w:p>
      <w:pPr>
        <w:pStyle w:val="Heading1"/>
      </w:pPr>
      <w:r>
        <w:t>2. Metodologia</w:t>
      </w:r>
    </w:p>
    <w:p>
      <w:pPr>
        <w:jc w:val="both"/>
      </w:pPr>
      <w:r>
        <w:rPr>
          <w:b w:val="0"/>
          <w:i w:val="0"/>
        </w:rPr>
        <w:t>A metodologia segue o CRISP-DM (Cross-Industry Standard Process for Data Mining), um modelo de processo iterativo composto por seis fases – compreensão do negócio, compreensão dos dados, preparação dos dados, modelação, avaliação e implementação – em que as lições de cada fase podem obrigar a regressar às anteriores. Todo o trabalho foi implementado em Python 3 com as bibliotecas pandas, scikit-learn (Pedregosa et al., 2011), imbalanced-learn (Lemaître et al., 2017), SciPy, statsmodels, matplotlib e seaborn; a semente aleatória foi fixada em 42.</w:t>
      </w:r>
    </w:p>
    <w:p>
      <w:pPr>
        <w:pStyle w:val="Heading2"/>
      </w:pPr>
      <w:r>
        <w:t>2.1 Compreensão do negócio (Business Understanding)</w:t>
      </w:r>
    </w:p>
    <w:p>
      <w:pPr>
        <w:jc w:val="both"/>
      </w:pPr>
      <w:r>
        <w:rPr>
          <w:b w:val="0"/>
          <w:i w:val="0"/>
        </w:rPr>
      </w:r>
      <w:r>
        <w:rPr>
          <w:b/>
          <w:i w:val="0"/>
        </w:rPr>
        <w:t>Objetivo de negócio.</w:t>
      </w:r>
      <w:r>
        <w:rPr>
          <w:b w:val="0"/>
          <w:i w:val="0"/>
        </w:rPr>
        <w:t xml:space="preserve"> Identificar corretamente os produtos que se encontram com desconto a partir das suas características, de forma a automatizar uma tarefa que, de outro modo, exigiria inspeção manual.</w:t>
      </w:r>
    </w:p>
    <w:p>
      <w:pPr>
        <w:jc w:val="both"/>
      </w:pPr>
      <w:r>
        <w:rPr>
          <w:b w:val="0"/>
          <w:i w:val="0"/>
        </w:rPr>
      </w:r>
      <w:r>
        <w:rPr>
          <w:b/>
          <w:i w:val="0"/>
        </w:rPr>
        <w:t>Critério de sucesso.</w:t>
      </w:r>
      <w:r>
        <w:rPr>
          <w:b w:val="0"/>
          <w:i w:val="0"/>
        </w:rPr>
        <w:t xml:space="preserve"> A métrica oficial é a accuracy, isto é, a proporção de produtos classificados corretamente. Como a classe positiva representa apenas cerca de um quinto dos casos, um classificador trivial que preveja sempre «sem desconto» obteria cerca de 79,4% de accuracy; qualquer modelo útil tem de superar claramente este valor de referência (baseline). Dado que a accuracy pode esconder um fraco desempenho na classe minoritária, reportam-se também a precision, o recall e a F-measure da classe positiva:</w:t>
      </w:r>
    </w:p>
    <w:p>
      <w:pPr>
        <w:pStyle w:val="ListBullet"/>
        <w:spacing w:after="40"/>
        <w:jc w:val="both"/>
      </w:pPr>
      <w:r>
        <w:rPr>
          <w:b w:val="0"/>
        </w:rPr>
      </w:r>
      <w:r>
        <w:rPr>
          <w:b/>
        </w:rPr>
        <w:t>Precision</w:t>
      </w:r>
      <w:r>
        <w:rPr>
          <w:b w:val="0"/>
        </w:rPr>
        <w:t xml:space="preserve"> = VP / (VP + FP): dos produtos classificados como «com desconto», que fração o é realmente;</w:t>
      </w:r>
    </w:p>
    <w:p>
      <w:pPr>
        <w:pStyle w:val="ListBullet"/>
        <w:spacing w:after="40"/>
        <w:jc w:val="both"/>
      </w:pPr>
      <w:r>
        <w:rPr>
          <w:b w:val="0"/>
        </w:rPr>
      </w:r>
      <w:r>
        <w:rPr>
          <w:b/>
        </w:rPr>
        <w:t>Recall</w:t>
      </w:r>
      <w:r>
        <w:rPr>
          <w:b w:val="0"/>
        </w:rPr>
        <w:t xml:space="preserve"> = VP / (VP + FN): dos produtos realmente com desconto, que fração é identificada;</w:t>
      </w:r>
    </w:p>
    <w:p>
      <w:pPr>
        <w:pStyle w:val="ListBullet"/>
        <w:spacing w:after="40"/>
        <w:jc w:val="both"/>
      </w:pPr>
      <w:r>
        <w:rPr>
          <w:b w:val="0"/>
        </w:rPr>
      </w:r>
      <w:r>
        <w:rPr>
          <w:b/>
        </w:rPr>
        <w:t>F-measure (F1)</w:t>
      </w:r>
      <w:r>
        <w:rPr>
          <w:b w:val="0"/>
        </w:rPr>
        <w:t xml:space="preserve"> = 2·Precision·Recall / (Precision + Recall): média harmónica das duas anteriores.</w:t>
      </w:r>
    </w:p>
    <w:p>
      <w:pPr>
        <w:jc w:val="both"/>
      </w:pPr>
      <w:r>
        <w:rPr>
          <w:b w:val="0"/>
          <w:i w:val="0"/>
        </w:rPr>
      </w:r>
      <w:r>
        <w:rPr>
          <w:b/>
          <w:i w:val="0"/>
        </w:rPr>
        <w:t>Situação, recursos e restrições.</w:t>
      </w:r>
      <w:r>
        <w:rPr>
          <w:b w:val="0"/>
          <w:i w:val="0"/>
        </w:rPr>
        <w:t xml:space="preserve"> Dispõe-se de dois ficheiros de dados e de nenhuma informação adicional sobre o significado concreto das variáveis (apenas o seu tipo). Não há dados sobre custos de erro assimétricos, pelo que se assume que um falso positivo e um falso negativo têm o mesmo custo, tal como implica a accuracy. A análise é, por isso, puramente baseada em dados, e as interpretações do papel de cada variável devem ser entendidas como hipóteses.</w:t>
      </w:r>
    </w:p>
    <w:p>
      <w:pPr>
        <w:jc w:val="both"/>
      </w:pPr>
      <w:r>
        <w:rPr>
          <w:b w:val="0"/>
          <w:i w:val="0"/>
        </w:rPr>
      </w:r>
      <w:r>
        <w:rPr>
          <w:b/>
          <w:i w:val="0"/>
        </w:rPr>
        <w:t>Objetivo de modelação.</w:t>
      </w:r>
      <w:r>
        <w:rPr>
          <w:b w:val="0"/>
          <w:i w:val="0"/>
        </w:rPr>
        <w:t xml:space="preserve"> Aprender uma função f(d1,…,d18, x1,…,x9) → {0, 1} que maximize a accuracy em dados não vistos e produzir as previsões para os 3 676 registos de task.csv.</w:t>
      </w:r>
    </w:p>
    <w:p>
      <w:pPr>
        <w:pStyle w:val="Heading2"/>
      </w:pPr>
      <w:r>
        <w:t>2.2 Compreensão dos dados (Data Understanding)</w:t>
      </w:r>
    </w:p>
    <w:p>
      <w:pPr>
        <w:pStyle w:val="Heading3"/>
      </w:pPr>
      <w:r>
        <w:t>2.2.1 Descrição geral</w:t>
      </w:r>
    </w:p>
    <w:p>
      <w:pPr>
        <w:jc w:val="both"/>
      </w:pPr>
      <w:r>
        <w:rPr>
          <w:b w:val="0"/>
          <w:i w:val="0"/>
        </w:rPr>
        <w:t>O ficheiro de treino tem 3 676 linhas e 28 colunas: o identificador i, o alvo y, 17 variáveis discretas (d1–d5, d7–d18; não existe d6) e 9 variáveis contínuas (x1–x9). O ficheiro task.csv tem a mesma estrutura, com y em branco. O identificador i varia entre 2 e 7 352 no treino e os dois ficheiros são disjuntos em i (os registos foram repartidos entre treino e teste), pelo que i funciona apenas como identificador; a sua correlação com y é desprezável (−0,023) e, em conformidade com o enunciado, não foi utilizado.</w:t>
      </w:r>
    </w:p>
    <w:p>
      <w:pPr>
        <w:jc w:val="both"/>
      </w:pPr>
      <w:r>
        <w:rPr>
          <w:b w:val="0"/>
          <w:i w:val="0"/>
        </w:rPr>
        <w:t>A variável alvo está moderadamente desequilibrada: 2 920 registos (79,4%) sem desconto e 756 (20,6%) com desconto, o que equivale a um rácio de cerca de 3,9 : 1 (Figura 1).</w:t>
      </w:r>
    </w:p>
    <w:p>
      <w:pPr>
        <w:keepNext/>
        <w:jc w:val="center"/>
      </w:pPr>
      <w:r>
        <w:drawing>
          <wp:inline xmlns:a="http://schemas.openxmlformats.org/drawingml/2006/main" xmlns:pic="http://schemas.openxmlformats.org/drawingml/2006/picture">
            <wp:extent cx="3240000" cy="2304000"/>
            <wp:docPr id="1" name="Picture 1"/>
            <wp:cNvGraphicFramePr>
              <a:graphicFrameLocks noChangeAspect="1"/>
            </wp:cNvGraphicFramePr>
            <a:graphic>
              <a:graphicData uri="http://schemas.openxmlformats.org/drawingml/2006/picture">
                <pic:pic>
                  <pic:nvPicPr>
                    <pic:cNvPr id="0" name="target.png"/>
                    <pic:cNvPicPr/>
                  </pic:nvPicPr>
                  <pic:blipFill>
                    <a:blip r:embed="rId9"/>
                    <a:stretch>
                      <a:fillRect/>
                    </a:stretch>
                  </pic:blipFill>
                  <pic:spPr>
                    <a:xfrm>
                      <a:off x="0" y="0"/>
                      <a:ext cx="3240000" cy="2304000"/>
                    </a:xfrm>
                    <a:prstGeom prst="rect"/>
                  </pic:spPr>
                </pic:pic>
              </a:graphicData>
            </a:graphic>
          </wp:inline>
        </w:drawing>
      </w:r>
    </w:p>
    <w:p>
      <w:pPr>
        <w:spacing w:after="200"/>
        <w:jc w:val="center"/>
      </w:pPr>
      <w:r>
        <w:rPr>
          <w:i/>
          <w:sz w:val="19"/>
        </w:rPr>
        <w:t>Figura 1 – Distribuição da variável alvo no conjunto de treino.</w:t>
      </w:r>
    </w:p>
    <w:p>
      <w:pPr>
        <w:jc w:val="both"/>
      </w:pPr>
      <w:r>
        <w:rPr>
          <w:b w:val="0"/>
          <w:i w:val="0"/>
        </w:rPr>
        <w:t>Quanto à qualidade dos dados, a única variável com valores em falta é x9: 49 no treino (1,33%) e 30 em task.csv. Nas restantes variáveis não se detetaram valores impossíveis (os intervalos observados são plausíveis). Existem 170 registos de treino com o vetor de características idêntico a outro registo (4,6%); em todos os grupos de duplicados a etiqueta é igual (não há contradições), o que sugere produtos genuinamente repetidos e não erros. Além disso, 382 registos de task.csv (10,4%) têm um vetor de características igual a algum registo de treino. Estas duplicações têm implicações para a avaliação dos modelos, discutidas na secção 3.4.</w:t>
      </w:r>
    </w:p>
    <w:p>
      <w:pPr>
        <w:pStyle w:val="Heading3"/>
      </w:pPr>
      <w:r>
        <w:t>2.2.2 Variáveis contínuas</w:t>
      </w:r>
    </w:p>
    <w:p>
      <w:pPr>
        <w:jc w:val="both"/>
      </w:pPr>
      <w:r>
        <w:rPr>
          <w:b w:val="0"/>
          <w:i w:val="0"/>
        </w:rPr>
        <w:t>A Tabela 1 resume as variáveis contínuas. Verifica-se que x1 (valores inteiros de 1 a 7), x2 (1 a 4), x4 (1 a 3), x6, x7 e x8 assumem poucos valores distintos, embora tenham sido fornecidas como contínuas; x3 e x5 têm muitos valores distintos. x3 e x5 têm assimetria fortemente positiva (3,8 e 3,6) e curtose elevada (28,5 e 17,6), isto é, a maioria dos valores é pequena e há uma cauda longa de valores grandes. Os valores de x5 (0,39 a 27,48) terminam frequentemente em .49, .69 ou .99, o que sugere – sem que tal esteja confirmado – que representa um preço. x4 é praticamente constante: 89,7% dos registos valem 1, 10,0% valem 2 e apenas 11 registos valem 3.</w:t>
      </w:r>
    </w:p>
    <w:p>
      <w:pPr>
        <w:keepNext/>
        <w:spacing w:after="60"/>
        <w:jc w:val="center"/>
      </w:pPr>
      <w:r>
        <w:rPr>
          <w:i/>
          <w:sz w:val="19"/>
        </w:rPr>
        <w:t>Tabela 1 – Estatística descritiva das variáveis contínuas (conjunto de treino).</w:t>
      </w:r>
    </w:p>
    <w:tbl>
      <w:tblPr>
        <w:tblStyle w:val="TableGrid"/>
        <w:tblW w:type="auto" w:w="0"/>
        <w:jc w:val="center"/>
        <w:tblLook w:firstColumn="1" w:firstRow="1" w:lastColumn="0" w:lastRow="0" w:noHBand="0" w:noVBand="1" w:val="04A0"/>
      </w:tblPr>
      <w:tblGrid>
        <w:gridCol w:w="698"/>
        <w:gridCol w:w="698"/>
        <w:gridCol w:w="698"/>
        <w:gridCol w:w="698"/>
        <w:gridCol w:w="698"/>
        <w:gridCol w:w="698"/>
        <w:gridCol w:w="698"/>
        <w:gridCol w:w="698"/>
        <w:gridCol w:w="698"/>
        <w:gridCol w:w="698"/>
        <w:gridCol w:w="698"/>
        <w:gridCol w:w="698"/>
        <w:gridCol w:w="698"/>
      </w:tblGrid>
      <w:tr>
        <w:tc>
          <w:tcPr>
            <w:tcW w:type="dxa" w:w="698"/>
            <w:shd w:val="clear" w:color="auto" w:fill="9B1C2E"/>
          </w:tcPr>
          <w:p>
            <w:pPr>
              <w:spacing w:after="20" w:line="240" w:lineRule="auto"/>
              <w:jc w:val="center"/>
            </w:pPr>
            <w:r/>
            <w:r>
              <w:rPr>
                <w:b/>
                <w:color w:val="FFFFFF"/>
                <w:sz w:val="16"/>
              </w:rPr>
              <w:t>var.</w:t>
            </w:r>
          </w:p>
        </w:tc>
        <w:tc>
          <w:tcPr>
            <w:tcW w:type="dxa" w:w="698"/>
            <w:shd w:val="clear" w:color="auto" w:fill="9B1C2E"/>
          </w:tcPr>
          <w:p>
            <w:pPr>
              <w:spacing w:after="20" w:line="240" w:lineRule="auto"/>
              <w:jc w:val="center"/>
            </w:pPr>
            <w:r/>
            <w:r>
              <w:rPr>
                <w:b/>
                <w:color w:val="FFFFFF"/>
                <w:sz w:val="16"/>
              </w:rPr>
              <w:t>n</w:t>
            </w:r>
          </w:p>
        </w:tc>
        <w:tc>
          <w:tcPr>
            <w:tcW w:type="dxa" w:w="698"/>
            <w:shd w:val="clear" w:color="auto" w:fill="9B1C2E"/>
          </w:tcPr>
          <w:p>
            <w:pPr>
              <w:spacing w:after="20" w:line="240" w:lineRule="auto"/>
              <w:jc w:val="center"/>
            </w:pPr>
            <w:r/>
            <w:r>
              <w:rPr>
                <w:b/>
                <w:color w:val="FFFFFF"/>
                <w:sz w:val="16"/>
              </w:rPr>
              <w:t>média</w:t>
            </w:r>
          </w:p>
        </w:tc>
        <w:tc>
          <w:tcPr>
            <w:tcW w:type="dxa" w:w="698"/>
            <w:shd w:val="clear" w:color="auto" w:fill="9B1C2E"/>
          </w:tcPr>
          <w:p>
            <w:pPr>
              <w:spacing w:after="20" w:line="240" w:lineRule="auto"/>
              <w:jc w:val="center"/>
            </w:pPr>
            <w:r/>
            <w:r>
              <w:rPr>
                <w:b/>
                <w:color w:val="FFFFFF"/>
                <w:sz w:val="16"/>
              </w:rPr>
              <w:t>dp</w:t>
            </w:r>
          </w:p>
        </w:tc>
        <w:tc>
          <w:tcPr>
            <w:tcW w:type="dxa" w:w="698"/>
            <w:shd w:val="clear" w:color="auto" w:fill="9B1C2E"/>
          </w:tcPr>
          <w:p>
            <w:pPr>
              <w:spacing w:after="20" w:line="240" w:lineRule="auto"/>
              <w:jc w:val="center"/>
            </w:pPr>
            <w:r/>
            <w:r>
              <w:rPr>
                <w:b/>
                <w:color w:val="FFFFFF"/>
                <w:sz w:val="16"/>
              </w:rPr>
              <w:t>mín</w:t>
            </w:r>
          </w:p>
        </w:tc>
        <w:tc>
          <w:tcPr>
            <w:tcW w:type="dxa" w:w="698"/>
            <w:shd w:val="clear" w:color="auto" w:fill="9B1C2E"/>
          </w:tcPr>
          <w:p>
            <w:pPr>
              <w:spacing w:after="20" w:line="240" w:lineRule="auto"/>
              <w:jc w:val="center"/>
            </w:pPr>
            <w:r/>
            <w:r>
              <w:rPr>
                <w:b/>
                <w:color w:val="FFFFFF"/>
                <w:sz w:val="16"/>
              </w:rPr>
              <w:t>Q1</w:t>
            </w:r>
          </w:p>
        </w:tc>
        <w:tc>
          <w:tcPr>
            <w:tcW w:type="dxa" w:w="698"/>
            <w:shd w:val="clear" w:color="auto" w:fill="9B1C2E"/>
          </w:tcPr>
          <w:p>
            <w:pPr>
              <w:spacing w:after="20" w:line="240" w:lineRule="auto"/>
              <w:jc w:val="center"/>
            </w:pPr>
            <w:r/>
            <w:r>
              <w:rPr>
                <w:b/>
                <w:color w:val="FFFFFF"/>
                <w:sz w:val="16"/>
              </w:rPr>
              <w:t>mediana</w:t>
            </w:r>
          </w:p>
        </w:tc>
        <w:tc>
          <w:tcPr>
            <w:tcW w:type="dxa" w:w="698"/>
            <w:shd w:val="clear" w:color="auto" w:fill="9B1C2E"/>
          </w:tcPr>
          <w:p>
            <w:pPr>
              <w:spacing w:after="20" w:line="240" w:lineRule="auto"/>
              <w:jc w:val="center"/>
            </w:pPr>
            <w:r/>
            <w:r>
              <w:rPr>
                <w:b/>
                <w:color w:val="FFFFFF"/>
                <w:sz w:val="16"/>
              </w:rPr>
              <w:t>Q3</w:t>
            </w:r>
          </w:p>
        </w:tc>
        <w:tc>
          <w:tcPr>
            <w:tcW w:type="dxa" w:w="698"/>
            <w:shd w:val="clear" w:color="auto" w:fill="9B1C2E"/>
          </w:tcPr>
          <w:p>
            <w:pPr>
              <w:spacing w:after="20" w:line="240" w:lineRule="auto"/>
              <w:jc w:val="center"/>
            </w:pPr>
            <w:r/>
            <w:r>
              <w:rPr>
                <w:b/>
                <w:color w:val="FFFFFF"/>
                <w:sz w:val="16"/>
              </w:rPr>
              <w:t>máx</w:t>
            </w:r>
          </w:p>
        </w:tc>
        <w:tc>
          <w:tcPr>
            <w:tcW w:type="dxa" w:w="698"/>
            <w:shd w:val="clear" w:color="auto" w:fill="9B1C2E"/>
          </w:tcPr>
          <w:p>
            <w:pPr>
              <w:spacing w:after="20" w:line="240" w:lineRule="auto"/>
              <w:jc w:val="center"/>
            </w:pPr>
            <w:r/>
            <w:r>
              <w:rPr>
                <w:b/>
                <w:color w:val="FFFFFF"/>
                <w:sz w:val="16"/>
              </w:rPr>
              <w:t>assim.</w:t>
            </w:r>
          </w:p>
        </w:tc>
        <w:tc>
          <w:tcPr>
            <w:tcW w:type="dxa" w:w="698"/>
            <w:shd w:val="clear" w:color="auto" w:fill="9B1C2E"/>
          </w:tcPr>
          <w:p>
            <w:pPr>
              <w:spacing w:after="20" w:line="240" w:lineRule="auto"/>
              <w:jc w:val="center"/>
            </w:pPr>
            <w:r/>
            <w:r>
              <w:rPr>
                <w:b/>
                <w:color w:val="FFFFFF"/>
                <w:sz w:val="16"/>
              </w:rPr>
              <w:t>curtose</w:t>
            </w:r>
          </w:p>
        </w:tc>
        <w:tc>
          <w:tcPr>
            <w:tcW w:type="dxa" w:w="698"/>
            <w:shd w:val="clear" w:color="auto" w:fill="9B1C2E"/>
          </w:tcPr>
          <w:p>
            <w:pPr>
              <w:spacing w:after="20" w:line="240" w:lineRule="auto"/>
              <w:jc w:val="center"/>
            </w:pPr>
            <w:r/>
            <w:r>
              <w:rPr>
                <w:b/>
                <w:color w:val="FFFFFF"/>
                <w:sz w:val="16"/>
              </w:rPr>
              <w:t>n.º val.</w:t>
            </w:r>
          </w:p>
        </w:tc>
        <w:tc>
          <w:tcPr>
            <w:tcW w:type="dxa" w:w="698"/>
            <w:shd w:val="clear" w:color="auto" w:fill="9B1C2E"/>
          </w:tcPr>
          <w:p>
            <w:pPr>
              <w:spacing w:after="20" w:line="240" w:lineRule="auto"/>
              <w:jc w:val="center"/>
            </w:pPr>
            <w:r/>
            <w:r>
              <w:rPr>
                <w:b/>
                <w:color w:val="FFFFFF"/>
                <w:sz w:val="16"/>
              </w:rPr>
              <w:t>falta</w:t>
            </w:r>
          </w:p>
        </w:tc>
      </w:tr>
      <w:tr>
        <w:tc>
          <w:tcPr>
            <w:tcW w:type="dxa" w:w="698"/>
          </w:tcPr>
          <w:p>
            <w:pPr>
              <w:spacing w:after="20" w:line="240" w:lineRule="auto"/>
              <w:jc w:val="left"/>
            </w:pPr>
            <w:r/>
            <w:r>
              <w:rPr>
                <w:sz w:val="16"/>
              </w:rPr>
              <w:t>x1</w:t>
            </w:r>
          </w:p>
        </w:tc>
        <w:tc>
          <w:tcPr>
            <w:tcW w:type="dxa" w:w="698"/>
          </w:tcPr>
          <w:p>
            <w:pPr>
              <w:spacing w:after="20" w:line="240" w:lineRule="auto"/>
              <w:jc w:val="center"/>
            </w:pPr>
            <w:r/>
            <w:r>
              <w:rPr>
                <w:sz w:val="16"/>
              </w:rPr>
              <w:t>3676</w:t>
            </w:r>
          </w:p>
        </w:tc>
        <w:tc>
          <w:tcPr>
            <w:tcW w:type="dxa" w:w="698"/>
          </w:tcPr>
          <w:p>
            <w:pPr>
              <w:spacing w:after="20" w:line="240" w:lineRule="auto"/>
              <w:jc w:val="center"/>
            </w:pPr>
            <w:r/>
            <w:r>
              <w:rPr>
                <w:sz w:val="16"/>
              </w:rPr>
              <w:t>4,03</w:t>
            </w:r>
          </w:p>
        </w:tc>
        <w:tc>
          <w:tcPr>
            <w:tcW w:type="dxa" w:w="698"/>
          </w:tcPr>
          <w:p>
            <w:pPr>
              <w:spacing w:after="20" w:line="240" w:lineRule="auto"/>
              <w:jc w:val="center"/>
            </w:pPr>
            <w:r/>
            <w:r>
              <w:rPr>
                <w:sz w:val="16"/>
              </w:rPr>
              <w:t>2,00</w:t>
            </w:r>
          </w:p>
        </w:tc>
        <w:tc>
          <w:tcPr>
            <w:tcW w:type="dxa" w:w="698"/>
          </w:tcPr>
          <w:p>
            <w:pPr>
              <w:spacing w:after="20" w:line="240" w:lineRule="auto"/>
              <w:jc w:val="center"/>
            </w:pPr>
            <w:r/>
            <w:r>
              <w:rPr>
                <w:sz w:val="16"/>
              </w:rPr>
              <w:t>1,00</w:t>
            </w:r>
          </w:p>
        </w:tc>
        <w:tc>
          <w:tcPr>
            <w:tcW w:type="dxa" w:w="698"/>
          </w:tcPr>
          <w:p>
            <w:pPr>
              <w:spacing w:after="20" w:line="240" w:lineRule="auto"/>
              <w:jc w:val="center"/>
            </w:pPr>
            <w:r/>
            <w:r>
              <w:rPr>
                <w:sz w:val="16"/>
              </w:rPr>
              <w:t>2,00</w:t>
            </w:r>
          </w:p>
        </w:tc>
        <w:tc>
          <w:tcPr>
            <w:tcW w:type="dxa" w:w="698"/>
          </w:tcPr>
          <w:p>
            <w:pPr>
              <w:spacing w:after="20" w:line="240" w:lineRule="auto"/>
              <w:jc w:val="center"/>
            </w:pPr>
            <w:r/>
            <w:r>
              <w:rPr>
                <w:sz w:val="16"/>
              </w:rPr>
              <w:t>4,00</w:t>
            </w:r>
          </w:p>
        </w:tc>
        <w:tc>
          <w:tcPr>
            <w:tcW w:type="dxa" w:w="698"/>
          </w:tcPr>
          <w:p>
            <w:pPr>
              <w:spacing w:after="20" w:line="240" w:lineRule="auto"/>
              <w:jc w:val="center"/>
            </w:pPr>
            <w:r/>
            <w:r>
              <w:rPr>
                <w:sz w:val="16"/>
              </w:rPr>
              <w:t>6,00</w:t>
            </w:r>
          </w:p>
        </w:tc>
        <w:tc>
          <w:tcPr>
            <w:tcW w:type="dxa" w:w="698"/>
          </w:tcPr>
          <w:p>
            <w:pPr>
              <w:spacing w:after="20" w:line="240" w:lineRule="auto"/>
              <w:jc w:val="center"/>
            </w:pPr>
            <w:r/>
            <w:r>
              <w:rPr>
                <w:sz w:val="16"/>
              </w:rPr>
              <w:t>7,00</w:t>
            </w:r>
          </w:p>
        </w:tc>
        <w:tc>
          <w:tcPr>
            <w:tcW w:type="dxa" w:w="698"/>
          </w:tcPr>
          <w:p>
            <w:pPr>
              <w:spacing w:after="20" w:line="240" w:lineRule="auto"/>
              <w:jc w:val="center"/>
            </w:pPr>
            <w:r/>
            <w:r>
              <w:rPr>
                <w:sz w:val="16"/>
              </w:rPr>
              <w:t>-0,03</w:t>
            </w:r>
          </w:p>
        </w:tc>
        <w:tc>
          <w:tcPr>
            <w:tcW w:type="dxa" w:w="698"/>
          </w:tcPr>
          <w:p>
            <w:pPr>
              <w:spacing w:after="20" w:line="240" w:lineRule="auto"/>
              <w:jc w:val="center"/>
            </w:pPr>
            <w:r/>
            <w:r>
              <w:rPr>
                <w:sz w:val="16"/>
              </w:rPr>
              <w:t>-1.251</w:t>
            </w:r>
          </w:p>
        </w:tc>
        <w:tc>
          <w:tcPr>
            <w:tcW w:type="dxa" w:w="698"/>
          </w:tcPr>
          <w:p>
            <w:pPr>
              <w:spacing w:after="20" w:line="240" w:lineRule="auto"/>
              <w:jc w:val="center"/>
            </w:pPr>
            <w:r/>
            <w:r>
              <w:rPr>
                <w:sz w:val="16"/>
              </w:rPr>
              <w:t>7</w:t>
            </w:r>
          </w:p>
        </w:tc>
        <w:tc>
          <w:tcPr>
            <w:tcW w:type="dxa" w:w="698"/>
          </w:tcPr>
          <w:p>
            <w:pPr>
              <w:spacing w:after="20" w:line="240" w:lineRule="auto"/>
              <w:jc w:val="center"/>
            </w:pPr>
            <w:r/>
            <w:r>
              <w:rPr>
                <w:sz w:val="16"/>
              </w:rPr>
              <w:t>0</w:t>
            </w:r>
          </w:p>
        </w:tc>
      </w:tr>
      <w:tr>
        <w:tc>
          <w:tcPr>
            <w:tcW w:type="dxa" w:w="698"/>
            <w:shd w:val="clear" w:color="auto" w:fill="F2F2F2"/>
          </w:tcPr>
          <w:p>
            <w:pPr>
              <w:spacing w:after="20" w:line="240" w:lineRule="auto"/>
              <w:jc w:val="left"/>
            </w:pPr>
            <w:r/>
            <w:r>
              <w:rPr>
                <w:sz w:val="16"/>
              </w:rPr>
              <w:t>x2</w:t>
            </w:r>
          </w:p>
        </w:tc>
        <w:tc>
          <w:tcPr>
            <w:tcW w:type="dxa" w:w="698"/>
            <w:shd w:val="clear" w:color="auto" w:fill="F2F2F2"/>
          </w:tcPr>
          <w:p>
            <w:pPr>
              <w:spacing w:after="20" w:line="240" w:lineRule="auto"/>
              <w:jc w:val="center"/>
            </w:pPr>
            <w:r/>
            <w:r>
              <w:rPr>
                <w:sz w:val="16"/>
              </w:rPr>
              <w:t>3676</w:t>
            </w:r>
          </w:p>
        </w:tc>
        <w:tc>
          <w:tcPr>
            <w:tcW w:type="dxa" w:w="698"/>
            <w:shd w:val="clear" w:color="auto" w:fill="F2F2F2"/>
          </w:tcPr>
          <w:p>
            <w:pPr>
              <w:spacing w:after="20" w:line="240" w:lineRule="auto"/>
              <w:jc w:val="center"/>
            </w:pPr>
            <w:r/>
            <w:r>
              <w:rPr>
                <w:sz w:val="16"/>
              </w:rPr>
              <w:t>2,05</w:t>
            </w:r>
          </w:p>
        </w:tc>
        <w:tc>
          <w:tcPr>
            <w:tcW w:type="dxa" w:w="698"/>
            <w:shd w:val="clear" w:color="auto" w:fill="F2F2F2"/>
          </w:tcPr>
          <w:p>
            <w:pPr>
              <w:spacing w:after="20" w:line="240" w:lineRule="auto"/>
              <w:jc w:val="center"/>
            </w:pPr>
            <w:r/>
            <w:r>
              <w:rPr>
                <w:sz w:val="16"/>
              </w:rPr>
              <w:t>0,98</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2,00</w:t>
            </w:r>
          </w:p>
        </w:tc>
        <w:tc>
          <w:tcPr>
            <w:tcW w:type="dxa" w:w="698"/>
            <w:shd w:val="clear" w:color="auto" w:fill="F2F2F2"/>
          </w:tcPr>
          <w:p>
            <w:pPr>
              <w:spacing w:after="20" w:line="240" w:lineRule="auto"/>
              <w:jc w:val="center"/>
            </w:pPr>
            <w:r/>
            <w:r>
              <w:rPr>
                <w:sz w:val="16"/>
              </w:rPr>
              <w:t>3,00</w:t>
            </w:r>
          </w:p>
        </w:tc>
        <w:tc>
          <w:tcPr>
            <w:tcW w:type="dxa" w:w="698"/>
            <w:shd w:val="clear" w:color="auto" w:fill="F2F2F2"/>
          </w:tcPr>
          <w:p>
            <w:pPr>
              <w:spacing w:after="20" w:line="240" w:lineRule="auto"/>
              <w:jc w:val="center"/>
            </w:pPr>
            <w:r/>
            <w:r>
              <w:rPr>
                <w:sz w:val="16"/>
              </w:rPr>
              <w:t>4,00</w:t>
            </w:r>
          </w:p>
        </w:tc>
        <w:tc>
          <w:tcPr>
            <w:tcW w:type="dxa" w:w="698"/>
            <w:shd w:val="clear" w:color="auto" w:fill="F2F2F2"/>
          </w:tcPr>
          <w:p>
            <w:pPr>
              <w:spacing w:after="20" w:line="240" w:lineRule="auto"/>
              <w:jc w:val="center"/>
            </w:pPr>
            <w:r/>
            <w:r>
              <w:rPr>
                <w:sz w:val="16"/>
              </w:rPr>
              <w:t>0,47</w:t>
            </w:r>
          </w:p>
        </w:tc>
        <w:tc>
          <w:tcPr>
            <w:tcW w:type="dxa" w:w="698"/>
            <w:shd w:val="clear" w:color="auto" w:fill="F2F2F2"/>
          </w:tcPr>
          <w:p>
            <w:pPr>
              <w:spacing w:after="20" w:line="240" w:lineRule="auto"/>
              <w:jc w:val="center"/>
            </w:pPr>
            <w:r/>
            <w:r>
              <w:rPr>
                <w:sz w:val="16"/>
              </w:rPr>
              <w:t>-0.894</w:t>
            </w:r>
          </w:p>
        </w:tc>
        <w:tc>
          <w:tcPr>
            <w:tcW w:type="dxa" w:w="698"/>
            <w:shd w:val="clear" w:color="auto" w:fill="F2F2F2"/>
          </w:tcPr>
          <w:p>
            <w:pPr>
              <w:spacing w:after="20" w:line="240" w:lineRule="auto"/>
              <w:jc w:val="center"/>
            </w:pPr>
            <w:r/>
            <w:r>
              <w:rPr>
                <w:sz w:val="16"/>
              </w:rPr>
              <w:t>4</w:t>
            </w:r>
          </w:p>
        </w:tc>
        <w:tc>
          <w:tcPr>
            <w:tcW w:type="dxa" w:w="698"/>
            <w:shd w:val="clear" w:color="auto" w:fill="F2F2F2"/>
          </w:tcPr>
          <w:p>
            <w:pPr>
              <w:spacing w:after="20" w:line="240" w:lineRule="auto"/>
              <w:jc w:val="center"/>
            </w:pPr>
            <w:r/>
            <w:r>
              <w:rPr>
                <w:sz w:val="16"/>
              </w:rPr>
              <w:t>0</w:t>
            </w:r>
          </w:p>
        </w:tc>
      </w:tr>
      <w:tr>
        <w:tc>
          <w:tcPr>
            <w:tcW w:type="dxa" w:w="698"/>
          </w:tcPr>
          <w:p>
            <w:pPr>
              <w:spacing w:after="20" w:line="240" w:lineRule="auto"/>
              <w:jc w:val="left"/>
            </w:pPr>
            <w:r/>
            <w:r>
              <w:rPr>
                <w:sz w:val="16"/>
              </w:rPr>
              <w:t>x3</w:t>
            </w:r>
          </w:p>
        </w:tc>
        <w:tc>
          <w:tcPr>
            <w:tcW w:type="dxa" w:w="698"/>
          </w:tcPr>
          <w:p>
            <w:pPr>
              <w:spacing w:after="20" w:line="240" w:lineRule="auto"/>
              <w:jc w:val="center"/>
            </w:pPr>
            <w:r/>
            <w:r>
              <w:rPr>
                <w:sz w:val="16"/>
              </w:rPr>
              <w:t>3676</w:t>
            </w:r>
          </w:p>
        </w:tc>
        <w:tc>
          <w:tcPr>
            <w:tcW w:type="dxa" w:w="698"/>
          </w:tcPr>
          <w:p>
            <w:pPr>
              <w:spacing w:after="20" w:line="240" w:lineRule="auto"/>
              <w:jc w:val="center"/>
            </w:pPr>
            <w:r/>
            <w:r>
              <w:rPr>
                <w:sz w:val="16"/>
              </w:rPr>
              <w:t>0,55</w:t>
            </w:r>
          </w:p>
        </w:tc>
        <w:tc>
          <w:tcPr>
            <w:tcW w:type="dxa" w:w="698"/>
          </w:tcPr>
          <w:p>
            <w:pPr>
              <w:spacing w:after="20" w:line="240" w:lineRule="auto"/>
              <w:jc w:val="center"/>
            </w:pPr>
            <w:r/>
            <w:r>
              <w:rPr>
                <w:sz w:val="16"/>
              </w:rPr>
              <w:t>0,39</w:t>
            </w:r>
          </w:p>
        </w:tc>
        <w:tc>
          <w:tcPr>
            <w:tcW w:type="dxa" w:w="698"/>
          </w:tcPr>
          <w:p>
            <w:pPr>
              <w:spacing w:after="20" w:line="240" w:lineRule="auto"/>
              <w:jc w:val="center"/>
            </w:pPr>
            <w:r/>
            <w:r>
              <w:rPr>
                <w:sz w:val="16"/>
              </w:rPr>
              <w:t>0,00</w:t>
            </w:r>
          </w:p>
        </w:tc>
        <w:tc>
          <w:tcPr>
            <w:tcW w:type="dxa" w:w="698"/>
          </w:tcPr>
          <w:p>
            <w:pPr>
              <w:spacing w:after="20" w:line="240" w:lineRule="auto"/>
              <w:jc w:val="center"/>
            </w:pPr>
            <w:r/>
            <w:r>
              <w:rPr>
                <w:sz w:val="16"/>
              </w:rPr>
              <w:t>0,35</w:t>
            </w:r>
          </w:p>
        </w:tc>
        <w:tc>
          <w:tcPr>
            <w:tcW w:type="dxa" w:w="698"/>
          </w:tcPr>
          <w:p>
            <w:pPr>
              <w:spacing w:after="20" w:line="240" w:lineRule="auto"/>
              <w:jc w:val="center"/>
            </w:pPr>
            <w:r/>
            <w:r>
              <w:rPr>
                <w:sz w:val="16"/>
              </w:rPr>
              <w:t>0,50</w:t>
            </w:r>
          </w:p>
        </w:tc>
        <w:tc>
          <w:tcPr>
            <w:tcW w:type="dxa" w:w="698"/>
          </w:tcPr>
          <w:p>
            <w:pPr>
              <w:spacing w:after="20" w:line="240" w:lineRule="auto"/>
              <w:jc w:val="center"/>
            </w:pPr>
            <w:r/>
            <w:r>
              <w:rPr>
                <w:sz w:val="16"/>
              </w:rPr>
              <w:t>0,75</w:t>
            </w:r>
          </w:p>
        </w:tc>
        <w:tc>
          <w:tcPr>
            <w:tcW w:type="dxa" w:w="698"/>
          </w:tcPr>
          <w:p>
            <w:pPr>
              <w:spacing w:after="20" w:line="240" w:lineRule="auto"/>
              <w:jc w:val="center"/>
            </w:pPr>
            <w:r/>
            <w:r>
              <w:rPr>
                <w:sz w:val="16"/>
              </w:rPr>
              <w:t>5,00</w:t>
            </w:r>
          </w:p>
        </w:tc>
        <w:tc>
          <w:tcPr>
            <w:tcW w:type="dxa" w:w="698"/>
          </w:tcPr>
          <w:p>
            <w:pPr>
              <w:spacing w:after="20" w:line="240" w:lineRule="auto"/>
              <w:jc w:val="center"/>
            </w:pPr>
            <w:r/>
            <w:r>
              <w:rPr>
                <w:sz w:val="16"/>
              </w:rPr>
              <w:t>3,81</w:t>
            </w:r>
          </w:p>
        </w:tc>
        <w:tc>
          <w:tcPr>
            <w:tcW w:type="dxa" w:w="698"/>
          </w:tcPr>
          <w:p>
            <w:pPr>
              <w:spacing w:after="20" w:line="240" w:lineRule="auto"/>
              <w:jc w:val="center"/>
            </w:pPr>
            <w:r/>
            <w:r>
              <w:rPr>
                <w:sz w:val="16"/>
              </w:rPr>
              <w:t>28.484</w:t>
            </w:r>
          </w:p>
        </w:tc>
        <w:tc>
          <w:tcPr>
            <w:tcW w:type="dxa" w:w="698"/>
          </w:tcPr>
          <w:p>
            <w:pPr>
              <w:spacing w:after="20" w:line="240" w:lineRule="auto"/>
              <w:jc w:val="center"/>
            </w:pPr>
            <w:r/>
            <w:r>
              <w:rPr>
                <w:sz w:val="16"/>
              </w:rPr>
              <w:t>72</w:t>
            </w:r>
          </w:p>
        </w:tc>
        <w:tc>
          <w:tcPr>
            <w:tcW w:type="dxa" w:w="698"/>
          </w:tcPr>
          <w:p>
            <w:pPr>
              <w:spacing w:after="20" w:line="240" w:lineRule="auto"/>
              <w:jc w:val="center"/>
            </w:pPr>
            <w:r/>
            <w:r>
              <w:rPr>
                <w:sz w:val="16"/>
              </w:rPr>
              <w:t>0</w:t>
            </w:r>
          </w:p>
        </w:tc>
      </w:tr>
      <w:tr>
        <w:tc>
          <w:tcPr>
            <w:tcW w:type="dxa" w:w="698"/>
            <w:shd w:val="clear" w:color="auto" w:fill="F2F2F2"/>
          </w:tcPr>
          <w:p>
            <w:pPr>
              <w:spacing w:after="20" w:line="240" w:lineRule="auto"/>
              <w:jc w:val="left"/>
            </w:pPr>
            <w:r/>
            <w:r>
              <w:rPr>
                <w:sz w:val="16"/>
              </w:rPr>
              <w:t>x4</w:t>
            </w:r>
          </w:p>
        </w:tc>
        <w:tc>
          <w:tcPr>
            <w:tcW w:type="dxa" w:w="698"/>
            <w:shd w:val="clear" w:color="auto" w:fill="F2F2F2"/>
          </w:tcPr>
          <w:p>
            <w:pPr>
              <w:spacing w:after="20" w:line="240" w:lineRule="auto"/>
              <w:jc w:val="center"/>
            </w:pPr>
            <w:r/>
            <w:r>
              <w:rPr>
                <w:sz w:val="16"/>
              </w:rPr>
              <w:t>3676</w:t>
            </w:r>
          </w:p>
        </w:tc>
        <w:tc>
          <w:tcPr>
            <w:tcW w:type="dxa" w:w="698"/>
            <w:shd w:val="clear" w:color="auto" w:fill="F2F2F2"/>
          </w:tcPr>
          <w:p>
            <w:pPr>
              <w:spacing w:after="20" w:line="240" w:lineRule="auto"/>
              <w:jc w:val="center"/>
            </w:pPr>
            <w:r/>
            <w:r>
              <w:rPr>
                <w:sz w:val="16"/>
              </w:rPr>
              <w:t>1,11</w:t>
            </w:r>
          </w:p>
        </w:tc>
        <w:tc>
          <w:tcPr>
            <w:tcW w:type="dxa" w:w="698"/>
            <w:shd w:val="clear" w:color="auto" w:fill="F2F2F2"/>
          </w:tcPr>
          <w:p>
            <w:pPr>
              <w:spacing w:after="20" w:line="240" w:lineRule="auto"/>
              <w:jc w:val="center"/>
            </w:pPr>
            <w:r/>
            <w:r>
              <w:rPr>
                <w:sz w:val="16"/>
              </w:rPr>
              <w:t>0,32</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3,00</w:t>
            </w:r>
          </w:p>
        </w:tc>
        <w:tc>
          <w:tcPr>
            <w:tcW w:type="dxa" w:w="698"/>
            <w:shd w:val="clear" w:color="auto" w:fill="F2F2F2"/>
          </w:tcPr>
          <w:p>
            <w:pPr>
              <w:spacing w:after="20" w:line="240" w:lineRule="auto"/>
              <w:jc w:val="center"/>
            </w:pPr>
            <w:r/>
            <w:r>
              <w:rPr>
                <w:sz w:val="16"/>
              </w:rPr>
              <w:t>2,85</w:t>
            </w:r>
          </w:p>
        </w:tc>
        <w:tc>
          <w:tcPr>
            <w:tcW w:type="dxa" w:w="698"/>
            <w:shd w:val="clear" w:color="auto" w:fill="F2F2F2"/>
          </w:tcPr>
          <w:p>
            <w:pPr>
              <w:spacing w:after="20" w:line="240" w:lineRule="auto"/>
              <w:jc w:val="center"/>
            </w:pPr>
            <w:r/>
            <w:r>
              <w:rPr>
                <w:sz w:val="16"/>
              </w:rPr>
              <w:t>7.17</w:t>
            </w:r>
          </w:p>
        </w:tc>
        <w:tc>
          <w:tcPr>
            <w:tcW w:type="dxa" w:w="698"/>
            <w:shd w:val="clear" w:color="auto" w:fill="F2F2F2"/>
          </w:tcPr>
          <w:p>
            <w:pPr>
              <w:spacing w:after="20" w:line="240" w:lineRule="auto"/>
              <w:jc w:val="center"/>
            </w:pPr>
            <w:r/>
            <w:r>
              <w:rPr>
                <w:sz w:val="16"/>
              </w:rPr>
              <w:t>3</w:t>
            </w:r>
          </w:p>
        </w:tc>
        <w:tc>
          <w:tcPr>
            <w:tcW w:type="dxa" w:w="698"/>
            <w:shd w:val="clear" w:color="auto" w:fill="F2F2F2"/>
          </w:tcPr>
          <w:p>
            <w:pPr>
              <w:spacing w:after="20" w:line="240" w:lineRule="auto"/>
              <w:jc w:val="center"/>
            </w:pPr>
            <w:r/>
            <w:r>
              <w:rPr>
                <w:sz w:val="16"/>
              </w:rPr>
              <w:t>0</w:t>
            </w:r>
          </w:p>
        </w:tc>
      </w:tr>
      <w:tr>
        <w:tc>
          <w:tcPr>
            <w:tcW w:type="dxa" w:w="698"/>
          </w:tcPr>
          <w:p>
            <w:pPr>
              <w:spacing w:after="20" w:line="240" w:lineRule="auto"/>
              <w:jc w:val="left"/>
            </w:pPr>
            <w:r/>
            <w:r>
              <w:rPr>
                <w:sz w:val="16"/>
              </w:rPr>
              <w:t>x5</w:t>
            </w:r>
          </w:p>
        </w:tc>
        <w:tc>
          <w:tcPr>
            <w:tcW w:type="dxa" w:w="698"/>
          </w:tcPr>
          <w:p>
            <w:pPr>
              <w:spacing w:after="20" w:line="240" w:lineRule="auto"/>
              <w:jc w:val="center"/>
            </w:pPr>
            <w:r/>
            <w:r>
              <w:rPr>
                <w:sz w:val="16"/>
              </w:rPr>
              <w:t>3676</w:t>
            </w:r>
          </w:p>
        </w:tc>
        <w:tc>
          <w:tcPr>
            <w:tcW w:type="dxa" w:w="698"/>
          </w:tcPr>
          <w:p>
            <w:pPr>
              <w:spacing w:after="20" w:line="240" w:lineRule="auto"/>
              <w:jc w:val="center"/>
            </w:pPr>
            <w:r/>
            <w:r>
              <w:rPr>
                <w:sz w:val="16"/>
              </w:rPr>
              <w:t>2,58</w:t>
            </w:r>
          </w:p>
        </w:tc>
        <w:tc>
          <w:tcPr>
            <w:tcW w:type="dxa" w:w="698"/>
          </w:tcPr>
          <w:p>
            <w:pPr>
              <w:spacing w:after="20" w:line="240" w:lineRule="auto"/>
              <w:jc w:val="center"/>
            </w:pPr>
            <w:r/>
            <w:r>
              <w:rPr>
                <w:sz w:val="16"/>
              </w:rPr>
              <w:t>2,78</w:t>
            </w:r>
          </w:p>
        </w:tc>
        <w:tc>
          <w:tcPr>
            <w:tcW w:type="dxa" w:w="698"/>
          </w:tcPr>
          <w:p>
            <w:pPr>
              <w:spacing w:after="20" w:line="240" w:lineRule="auto"/>
              <w:jc w:val="center"/>
            </w:pPr>
            <w:r/>
            <w:r>
              <w:rPr>
                <w:sz w:val="16"/>
              </w:rPr>
              <w:t>0,39</w:t>
            </w:r>
          </w:p>
        </w:tc>
        <w:tc>
          <w:tcPr>
            <w:tcW w:type="dxa" w:w="698"/>
          </w:tcPr>
          <w:p>
            <w:pPr>
              <w:spacing w:after="20" w:line="240" w:lineRule="auto"/>
              <w:jc w:val="center"/>
            </w:pPr>
            <w:r/>
            <w:r>
              <w:rPr>
                <w:sz w:val="16"/>
              </w:rPr>
              <w:t>1,09</w:t>
            </w:r>
          </w:p>
        </w:tc>
        <w:tc>
          <w:tcPr>
            <w:tcW w:type="dxa" w:w="698"/>
          </w:tcPr>
          <w:p>
            <w:pPr>
              <w:spacing w:after="20" w:line="240" w:lineRule="auto"/>
              <w:jc w:val="center"/>
            </w:pPr>
            <w:r/>
            <w:r>
              <w:rPr>
                <w:sz w:val="16"/>
              </w:rPr>
              <w:t>1,69</w:t>
            </w:r>
          </w:p>
        </w:tc>
        <w:tc>
          <w:tcPr>
            <w:tcW w:type="dxa" w:w="698"/>
          </w:tcPr>
          <w:p>
            <w:pPr>
              <w:spacing w:after="20" w:line="240" w:lineRule="auto"/>
              <w:jc w:val="center"/>
            </w:pPr>
            <w:r/>
            <w:r>
              <w:rPr>
                <w:sz w:val="16"/>
              </w:rPr>
              <w:t>2,82</w:t>
            </w:r>
          </w:p>
        </w:tc>
        <w:tc>
          <w:tcPr>
            <w:tcW w:type="dxa" w:w="698"/>
          </w:tcPr>
          <w:p>
            <w:pPr>
              <w:spacing w:after="20" w:line="240" w:lineRule="auto"/>
              <w:jc w:val="center"/>
            </w:pPr>
            <w:r/>
            <w:r>
              <w:rPr>
                <w:sz w:val="16"/>
              </w:rPr>
              <w:t>27,48</w:t>
            </w:r>
          </w:p>
        </w:tc>
        <w:tc>
          <w:tcPr>
            <w:tcW w:type="dxa" w:w="698"/>
          </w:tcPr>
          <w:p>
            <w:pPr>
              <w:spacing w:after="20" w:line="240" w:lineRule="auto"/>
              <w:jc w:val="center"/>
            </w:pPr>
            <w:r/>
            <w:r>
              <w:rPr>
                <w:sz w:val="16"/>
              </w:rPr>
              <w:t>3,58</w:t>
            </w:r>
          </w:p>
        </w:tc>
        <w:tc>
          <w:tcPr>
            <w:tcW w:type="dxa" w:w="698"/>
          </w:tcPr>
          <w:p>
            <w:pPr>
              <w:spacing w:after="20" w:line="240" w:lineRule="auto"/>
              <w:jc w:val="center"/>
            </w:pPr>
            <w:r/>
            <w:r>
              <w:rPr>
                <w:sz w:val="16"/>
              </w:rPr>
              <w:t>17.613</w:t>
            </w:r>
          </w:p>
        </w:tc>
        <w:tc>
          <w:tcPr>
            <w:tcW w:type="dxa" w:w="698"/>
          </w:tcPr>
          <w:p>
            <w:pPr>
              <w:spacing w:after="20" w:line="240" w:lineRule="auto"/>
              <w:jc w:val="center"/>
            </w:pPr>
            <w:r/>
            <w:r>
              <w:rPr>
                <w:sz w:val="16"/>
              </w:rPr>
              <w:t>181</w:t>
            </w:r>
          </w:p>
        </w:tc>
        <w:tc>
          <w:tcPr>
            <w:tcW w:type="dxa" w:w="698"/>
          </w:tcPr>
          <w:p>
            <w:pPr>
              <w:spacing w:after="20" w:line="240" w:lineRule="auto"/>
              <w:jc w:val="center"/>
            </w:pPr>
            <w:r/>
            <w:r>
              <w:rPr>
                <w:sz w:val="16"/>
              </w:rPr>
              <w:t>0</w:t>
            </w:r>
          </w:p>
        </w:tc>
      </w:tr>
      <w:tr>
        <w:tc>
          <w:tcPr>
            <w:tcW w:type="dxa" w:w="698"/>
            <w:shd w:val="clear" w:color="auto" w:fill="F2F2F2"/>
          </w:tcPr>
          <w:p>
            <w:pPr>
              <w:spacing w:after="20" w:line="240" w:lineRule="auto"/>
              <w:jc w:val="left"/>
            </w:pPr>
            <w:r/>
            <w:r>
              <w:rPr>
                <w:sz w:val="16"/>
              </w:rPr>
              <w:t>x6</w:t>
            </w:r>
          </w:p>
        </w:tc>
        <w:tc>
          <w:tcPr>
            <w:tcW w:type="dxa" w:w="698"/>
            <w:shd w:val="clear" w:color="auto" w:fill="F2F2F2"/>
          </w:tcPr>
          <w:p>
            <w:pPr>
              <w:spacing w:after="20" w:line="240" w:lineRule="auto"/>
              <w:jc w:val="center"/>
            </w:pPr>
            <w:r/>
            <w:r>
              <w:rPr>
                <w:sz w:val="16"/>
              </w:rPr>
              <w:t>3676</w:t>
            </w:r>
          </w:p>
        </w:tc>
        <w:tc>
          <w:tcPr>
            <w:tcW w:type="dxa" w:w="698"/>
            <w:shd w:val="clear" w:color="auto" w:fill="F2F2F2"/>
          </w:tcPr>
          <w:p>
            <w:pPr>
              <w:spacing w:after="20" w:line="240" w:lineRule="auto"/>
              <w:jc w:val="center"/>
            </w:pPr>
            <w:r/>
            <w:r>
              <w:rPr>
                <w:sz w:val="16"/>
              </w:rPr>
              <w:t>5,99</w:t>
            </w:r>
          </w:p>
        </w:tc>
        <w:tc>
          <w:tcPr>
            <w:tcW w:type="dxa" w:w="698"/>
            <w:shd w:val="clear" w:color="auto" w:fill="F2F2F2"/>
          </w:tcPr>
          <w:p>
            <w:pPr>
              <w:spacing w:after="20" w:line="240" w:lineRule="auto"/>
              <w:jc w:val="center"/>
            </w:pPr>
            <w:r/>
            <w:r>
              <w:rPr>
                <w:sz w:val="16"/>
              </w:rPr>
              <w:t>4,77</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5,00</w:t>
            </w:r>
          </w:p>
        </w:tc>
        <w:tc>
          <w:tcPr>
            <w:tcW w:type="dxa" w:w="698"/>
            <w:shd w:val="clear" w:color="auto" w:fill="F2F2F2"/>
          </w:tcPr>
          <w:p>
            <w:pPr>
              <w:spacing w:after="20" w:line="240" w:lineRule="auto"/>
              <w:jc w:val="center"/>
            </w:pPr>
            <w:r/>
            <w:r>
              <w:rPr>
                <w:sz w:val="16"/>
              </w:rPr>
              <w:t>8,00</w:t>
            </w:r>
          </w:p>
        </w:tc>
        <w:tc>
          <w:tcPr>
            <w:tcW w:type="dxa" w:w="698"/>
            <w:shd w:val="clear" w:color="auto" w:fill="F2F2F2"/>
          </w:tcPr>
          <w:p>
            <w:pPr>
              <w:spacing w:after="20" w:line="240" w:lineRule="auto"/>
              <w:jc w:val="center"/>
            </w:pPr>
            <w:r/>
            <w:r>
              <w:rPr>
                <w:sz w:val="16"/>
              </w:rPr>
              <w:t>17,00</w:t>
            </w:r>
          </w:p>
        </w:tc>
        <w:tc>
          <w:tcPr>
            <w:tcW w:type="dxa" w:w="698"/>
            <w:shd w:val="clear" w:color="auto" w:fill="F2F2F2"/>
          </w:tcPr>
          <w:p>
            <w:pPr>
              <w:spacing w:after="20" w:line="240" w:lineRule="auto"/>
              <w:jc w:val="center"/>
            </w:pPr>
            <w:r/>
            <w:r>
              <w:rPr>
                <w:sz w:val="16"/>
              </w:rPr>
              <w:t>0,73</w:t>
            </w:r>
          </w:p>
        </w:tc>
        <w:tc>
          <w:tcPr>
            <w:tcW w:type="dxa" w:w="698"/>
            <w:shd w:val="clear" w:color="auto" w:fill="F2F2F2"/>
          </w:tcPr>
          <w:p>
            <w:pPr>
              <w:spacing w:after="20" w:line="240" w:lineRule="auto"/>
              <w:jc w:val="center"/>
            </w:pPr>
            <w:r/>
            <w:r>
              <w:rPr>
                <w:sz w:val="16"/>
              </w:rPr>
              <w:t>-0.56</w:t>
            </w:r>
          </w:p>
        </w:tc>
        <w:tc>
          <w:tcPr>
            <w:tcW w:type="dxa" w:w="698"/>
            <w:shd w:val="clear" w:color="auto" w:fill="F2F2F2"/>
          </w:tcPr>
          <w:p>
            <w:pPr>
              <w:spacing w:after="20" w:line="240" w:lineRule="auto"/>
              <w:jc w:val="center"/>
            </w:pPr>
            <w:r/>
            <w:r>
              <w:rPr>
                <w:sz w:val="16"/>
              </w:rPr>
              <w:t>15</w:t>
            </w:r>
          </w:p>
        </w:tc>
        <w:tc>
          <w:tcPr>
            <w:tcW w:type="dxa" w:w="698"/>
            <w:shd w:val="clear" w:color="auto" w:fill="F2F2F2"/>
          </w:tcPr>
          <w:p>
            <w:pPr>
              <w:spacing w:after="20" w:line="240" w:lineRule="auto"/>
              <w:jc w:val="center"/>
            </w:pPr>
            <w:r/>
            <w:r>
              <w:rPr>
                <w:sz w:val="16"/>
              </w:rPr>
              <w:t>0</w:t>
            </w:r>
          </w:p>
        </w:tc>
      </w:tr>
      <w:tr>
        <w:tc>
          <w:tcPr>
            <w:tcW w:type="dxa" w:w="698"/>
          </w:tcPr>
          <w:p>
            <w:pPr>
              <w:spacing w:after="20" w:line="240" w:lineRule="auto"/>
              <w:jc w:val="left"/>
            </w:pPr>
            <w:r/>
            <w:r>
              <w:rPr>
                <w:sz w:val="16"/>
              </w:rPr>
              <w:t>x7</w:t>
            </w:r>
          </w:p>
        </w:tc>
        <w:tc>
          <w:tcPr>
            <w:tcW w:type="dxa" w:w="698"/>
          </w:tcPr>
          <w:p>
            <w:pPr>
              <w:spacing w:after="20" w:line="240" w:lineRule="auto"/>
              <w:jc w:val="center"/>
            </w:pPr>
            <w:r/>
            <w:r>
              <w:rPr>
                <w:sz w:val="16"/>
              </w:rPr>
              <w:t>3676</w:t>
            </w:r>
          </w:p>
        </w:tc>
        <w:tc>
          <w:tcPr>
            <w:tcW w:type="dxa" w:w="698"/>
          </w:tcPr>
          <w:p>
            <w:pPr>
              <w:spacing w:after="20" w:line="240" w:lineRule="auto"/>
              <w:jc w:val="center"/>
            </w:pPr>
            <w:r/>
            <w:r>
              <w:rPr>
                <w:sz w:val="16"/>
              </w:rPr>
              <w:t>8,89</w:t>
            </w:r>
          </w:p>
        </w:tc>
        <w:tc>
          <w:tcPr>
            <w:tcW w:type="dxa" w:w="698"/>
          </w:tcPr>
          <w:p>
            <w:pPr>
              <w:spacing w:after="20" w:line="240" w:lineRule="auto"/>
              <w:jc w:val="center"/>
            </w:pPr>
            <w:r/>
            <w:r>
              <w:rPr>
                <w:sz w:val="16"/>
              </w:rPr>
              <w:t>7,40</w:t>
            </w:r>
          </w:p>
        </w:tc>
        <w:tc>
          <w:tcPr>
            <w:tcW w:type="dxa" w:w="698"/>
          </w:tcPr>
          <w:p>
            <w:pPr>
              <w:spacing w:after="20" w:line="240" w:lineRule="auto"/>
              <w:jc w:val="center"/>
            </w:pPr>
            <w:r/>
            <w:r>
              <w:rPr>
                <w:sz w:val="16"/>
              </w:rPr>
              <w:t>1,00</w:t>
            </w:r>
          </w:p>
        </w:tc>
        <w:tc>
          <w:tcPr>
            <w:tcW w:type="dxa" w:w="698"/>
          </w:tcPr>
          <w:p>
            <w:pPr>
              <w:spacing w:after="20" w:line="240" w:lineRule="auto"/>
              <w:jc w:val="center"/>
            </w:pPr>
            <w:r/>
            <w:r>
              <w:rPr>
                <w:sz w:val="16"/>
              </w:rPr>
              <w:t>4,00</w:t>
            </w:r>
          </w:p>
        </w:tc>
        <w:tc>
          <w:tcPr>
            <w:tcW w:type="dxa" w:w="698"/>
          </w:tcPr>
          <w:p>
            <w:pPr>
              <w:spacing w:after="20" w:line="240" w:lineRule="auto"/>
              <w:jc w:val="center"/>
            </w:pPr>
            <w:r/>
            <w:r>
              <w:rPr>
                <w:sz w:val="16"/>
              </w:rPr>
              <w:t>6,00</w:t>
            </w:r>
          </w:p>
        </w:tc>
        <w:tc>
          <w:tcPr>
            <w:tcW w:type="dxa" w:w="698"/>
          </w:tcPr>
          <w:p>
            <w:pPr>
              <w:spacing w:after="20" w:line="240" w:lineRule="auto"/>
              <w:jc w:val="center"/>
            </w:pPr>
            <w:r/>
            <w:r>
              <w:rPr>
                <w:sz w:val="16"/>
              </w:rPr>
              <w:t>12,00</w:t>
            </w:r>
          </w:p>
        </w:tc>
        <w:tc>
          <w:tcPr>
            <w:tcW w:type="dxa" w:w="698"/>
          </w:tcPr>
          <w:p>
            <w:pPr>
              <w:spacing w:after="20" w:line="240" w:lineRule="auto"/>
              <w:jc w:val="center"/>
            </w:pPr>
            <w:r/>
            <w:r>
              <w:rPr>
                <w:sz w:val="16"/>
              </w:rPr>
              <w:t>25,00</w:t>
            </w:r>
          </w:p>
        </w:tc>
        <w:tc>
          <w:tcPr>
            <w:tcW w:type="dxa" w:w="698"/>
          </w:tcPr>
          <w:p>
            <w:pPr>
              <w:spacing w:after="20" w:line="240" w:lineRule="auto"/>
              <w:jc w:val="center"/>
            </w:pPr>
            <w:r/>
            <w:r>
              <w:rPr>
                <w:sz w:val="16"/>
              </w:rPr>
              <w:t>1,05</w:t>
            </w:r>
          </w:p>
        </w:tc>
        <w:tc>
          <w:tcPr>
            <w:tcW w:type="dxa" w:w="698"/>
          </w:tcPr>
          <w:p>
            <w:pPr>
              <w:spacing w:after="20" w:line="240" w:lineRule="auto"/>
              <w:jc w:val="center"/>
            </w:pPr>
            <w:r/>
            <w:r>
              <w:rPr>
                <w:sz w:val="16"/>
              </w:rPr>
              <w:t>-0.205</w:t>
            </w:r>
          </w:p>
        </w:tc>
        <w:tc>
          <w:tcPr>
            <w:tcW w:type="dxa" w:w="698"/>
          </w:tcPr>
          <w:p>
            <w:pPr>
              <w:spacing w:after="20" w:line="240" w:lineRule="auto"/>
              <w:jc w:val="center"/>
            </w:pPr>
            <w:r/>
            <w:r>
              <w:rPr>
                <w:sz w:val="16"/>
              </w:rPr>
              <w:t>25</w:t>
            </w:r>
          </w:p>
        </w:tc>
        <w:tc>
          <w:tcPr>
            <w:tcW w:type="dxa" w:w="698"/>
          </w:tcPr>
          <w:p>
            <w:pPr>
              <w:spacing w:after="20" w:line="240" w:lineRule="auto"/>
              <w:jc w:val="center"/>
            </w:pPr>
            <w:r/>
            <w:r>
              <w:rPr>
                <w:sz w:val="16"/>
              </w:rPr>
              <w:t>0</w:t>
            </w:r>
          </w:p>
        </w:tc>
      </w:tr>
      <w:tr>
        <w:tc>
          <w:tcPr>
            <w:tcW w:type="dxa" w:w="698"/>
            <w:shd w:val="clear" w:color="auto" w:fill="F2F2F2"/>
          </w:tcPr>
          <w:p>
            <w:pPr>
              <w:spacing w:after="20" w:line="240" w:lineRule="auto"/>
              <w:jc w:val="left"/>
            </w:pPr>
            <w:r/>
            <w:r>
              <w:rPr>
                <w:sz w:val="16"/>
              </w:rPr>
              <w:t>x8</w:t>
            </w:r>
          </w:p>
        </w:tc>
        <w:tc>
          <w:tcPr>
            <w:tcW w:type="dxa" w:w="698"/>
            <w:shd w:val="clear" w:color="auto" w:fill="F2F2F2"/>
          </w:tcPr>
          <w:p>
            <w:pPr>
              <w:spacing w:after="20" w:line="240" w:lineRule="auto"/>
              <w:jc w:val="center"/>
            </w:pPr>
            <w:r/>
            <w:r>
              <w:rPr>
                <w:sz w:val="16"/>
              </w:rPr>
              <w:t>3676</w:t>
            </w:r>
          </w:p>
        </w:tc>
        <w:tc>
          <w:tcPr>
            <w:tcW w:type="dxa" w:w="698"/>
            <w:shd w:val="clear" w:color="auto" w:fill="F2F2F2"/>
          </w:tcPr>
          <w:p>
            <w:pPr>
              <w:spacing w:after="20" w:line="240" w:lineRule="auto"/>
              <w:jc w:val="center"/>
            </w:pPr>
            <w:r/>
            <w:r>
              <w:rPr>
                <w:sz w:val="16"/>
              </w:rPr>
              <w:t>4,31</w:t>
            </w:r>
          </w:p>
        </w:tc>
        <w:tc>
          <w:tcPr>
            <w:tcW w:type="dxa" w:w="698"/>
            <w:shd w:val="clear" w:color="auto" w:fill="F2F2F2"/>
          </w:tcPr>
          <w:p>
            <w:pPr>
              <w:spacing w:after="20" w:line="240" w:lineRule="auto"/>
              <w:jc w:val="center"/>
            </w:pPr>
            <w:r/>
            <w:r>
              <w:rPr>
                <w:sz w:val="16"/>
              </w:rPr>
              <w:t>1,62</w:t>
            </w:r>
          </w:p>
        </w:tc>
        <w:tc>
          <w:tcPr>
            <w:tcW w:type="dxa" w:w="698"/>
            <w:shd w:val="clear" w:color="auto" w:fill="F2F2F2"/>
          </w:tcPr>
          <w:p>
            <w:pPr>
              <w:spacing w:after="20" w:line="240" w:lineRule="auto"/>
              <w:jc w:val="center"/>
            </w:pPr>
            <w:r/>
            <w:r>
              <w:rPr>
                <w:sz w:val="16"/>
              </w:rPr>
              <w:t>1,00</w:t>
            </w:r>
          </w:p>
        </w:tc>
        <w:tc>
          <w:tcPr>
            <w:tcW w:type="dxa" w:w="698"/>
            <w:shd w:val="clear" w:color="auto" w:fill="F2F2F2"/>
          </w:tcPr>
          <w:p>
            <w:pPr>
              <w:spacing w:after="20" w:line="240" w:lineRule="auto"/>
              <w:jc w:val="center"/>
            </w:pPr>
            <w:r/>
            <w:r>
              <w:rPr>
                <w:sz w:val="16"/>
              </w:rPr>
              <w:t>3,00</w:t>
            </w:r>
          </w:p>
        </w:tc>
        <w:tc>
          <w:tcPr>
            <w:tcW w:type="dxa" w:w="698"/>
            <w:shd w:val="clear" w:color="auto" w:fill="F2F2F2"/>
          </w:tcPr>
          <w:p>
            <w:pPr>
              <w:spacing w:after="20" w:line="240" w:lineRule="auto"/>
              <w:jc w:val="center"/>
            </w:pPr>
            <w:r/>
            <w:r>
              <w:rPr>
                <w:sz w:val="16"/>
              </w:rPr>
              <w:t>4,00</w:t>
            </w:r>
          </w:p>
        </w:tc>
        <w:tc>
          <w:tcPr>
            <w:tcW w:type="dxa" w:w="698"/>
            <w:shd w:val="clear" w:color="auto" w:fill="F2F2F2"/>
          </w:tcPr>
          <w:p>
            <w:pPr>
              <w:spacing w:after="20" w:line="240" w:lineRule="auto"/>
              <w:jc w:val="center"/>
            </w:pPr>
            <w:r/>
            <w:r>
              <w:rPr>
                <w:sz w:val="16"/>
              </w:rPr>
              <w:t>5,00</w:t>
            </w:r>
          </w:p>
        </w:tc>
        <w:tc>
          <w:tcPr>
            <w:tcW w:type="dxa" w:w="698"/>
            <w:shd w:val="clear" w:color="auto" w:fill="F2F2F2"/>
          </w:tcPr>
          <w:p>
            <w:pPr>
              <w:spacing w:after="20" w:line="240" w:lineRule="auto"/>
              <w:jc w:val="center"/>
            </w:pPr>
            <w:r/>
            <w:r>
              <w:rPr>
                <w:sz w:val="16"/>
              </w:rPr>
              <w:t>12,00</w:t>
            </w:r>
          </w:p>
        </w:tc>
        <w:tc>
          <w:tcPr>
            <w:tcW w:type="dxa" w:w="698"/>
            <w:shd w:val="clear" w:color="auto" w:fill="F2F2F2"/>
          </w:tcPr>
          <w:p>
            <w:pPr>
              <w:spacing w:after="20" w:line="240" w:lineRule="auto"/>
              <w:jc w:val="center"/>
            </w:pPr>
            <w:r/>
            <w:r>
              <w:rPr>
                <w:sz w:val="16"/>
              </w:rPr>
              <w:t>0,66</w:t>
            </w:r>
          </w:p>
        </w:tc>
        <w:tc>
          <w:tcPr>
            <w:tcW w:type="dxa" w:w="698"/>
            <w:shd w:val="clear" w:color="auto" w:fill="F2F2F2"/>
          </w:tcPr>
          <w:p>
            <w:pPr>
              <w:spacing w:after="20" w:line="240" w:lineRule="auto"/>
              <w:jc w:val="center"/>
            </w:pPr>
            <w:r/>
            <w:r>
              <w:rPr>
                <w:sz w:val="16"/>
              </w:rPr>
              <w:t>0.625</w:t>
            </w:r>
          </w:p>
        </w:tc>
        <w:tc>
          <w:tcPr>
            <w:tcW w:type="dxa" w:w="698"/>
            <w:shd w:val="clear" w:color="auto" w:fill="F2F2F2"/>
          </w:tcPr>
          <w:p>
            <w:pPr>
              <w:spacing w:after="20" w:line="240" w:lineRule="auto"/>
              <w:jc w:val="center"/>
            </w:pPr>
            <w:r/>
            <w:r>
              <w:rPr>
                <w:sz w:val="16"/>
              </w:rPr>
              <w:t>12</w:t>
            </w:r>
          </w:p>
        </w:tc>
        <w:tc>
          <w:tcPr>
            <w:tcW w:type="dxa" w:w="698"/>
            <w:shd w:val="clear" w:color="auto" w:fill="F2F2F2"/>
          </w:tcPr>
          <w:p>
            <w:pPr>
              <w:spacing w:after="20" w:line="240" w:lineRule="auto"/>
              <w:jc w:val="center"/>
            </w:pPr>
            <w:r/>
            <w:r>
              <w:rPr>
                <w:sz w:val="16"/>
              </w:rPr>
              <w:t>0</w:t>
            </w:r>
          </w:p>
        </w:tc>
      </w:tr>
      <w:tr>
        <w:tc>
          <w:tcPr>
            <w:tcW w:type="dxa" w:w="698"/>
          </w:tcPr>
          <w:p>
            <w:pPr>
              <w:spacing w:after="20" w:line="240" w:lineRule="auto"/>
              <w:jc w:val="left"/>
            </w:pPr>
            <w:r/>
            <w:r>
              <w:rPr>
                <w:sz w:val="16"/>
              </w:rPr>
              <w:t>x9</w:t>
            </w:r>
          </w:p>
        </w:tc>
        <w:tc>
          <w:tcPr>
            <w:tcW w:type="dxa" w:w="698"/>
          </w:tcPr>
          <w:p>
            <w:pPr>
              <w:spacing w:after="20" w:line="240" w:lineRule="auto"/>
              <w:jc w:val="center"/>
            </w:pPr>
            <w:r/>
            <w:r>
              <w:rPr>
                <w:sz w:val="16"/>
              </w:rPr>
              <w:t>3627</w:t>
            </w:r>
          </w:p>
        </w:tc>
        <w:tc>
          <w:tcPr>
            <w:tcW w:type="dxa" w:w="698"/>
          </w:tcPr>
          <w:p>
            <w:pPr>
              <w:spacing w:after="20" w:line="240" w:lineRule="auto"/>
              <w:jc w:val="center"/>
            </w:pPr>
            <w:r/>
            <w:r>
              <w:rPr>
                <w:sz w:val="16"/>
              </w:rPr>
              <w:t>26,32</w:t>
            </w:r>
          </w:p>
        </w:tc>
        <w:tc>
          <w:tcPr>
            <w:tcW w:type="dxa" w:w="698"/>
          </w:tcPr>
          <w:p>
            <w:pPr>
              <w:spacing w:after="20" w:line="240" w:lineRule="auto"/>
              <w:jc w:val="center"/>
            </w:pPr>
            <w:r/>
            <w:r>
              <w:rPr>
                <w:sz w:val="16"/>
              </w:rPr>
              <w:t>15,52</w:t>
            </w:r>
          </w:p>
        </w:tc>
        <w:tc>
          <w:tcPr>
            <w:tcW w:type="dxa" w:w="698"/>
          </w:tcPr>
          <w:p>
            <w:pPr>
              <w:spacing w:after="20" w:line="240" w:lineRule="auto"/>
              <w:jc w:val="center"/>
            </w:pPr>
            <w:r/>
            <w:r>
              <w:rPr>
                <w:sz w:val="16"/>
              </w:rPr>
              <w:t>1,00</w:t>
            </w:r>
          </w:p>
        </w:tc>
        <w:tc>
          <w:tcPr>
            <w:tcW w:type="dxa" w:w="698"/>
          </w:tcPr>
          <w:p>
            <w:pPr>
              <w:spacing w:after="20" w:line="240" w:lineRule="auto"/>
              <w:jc w:val="center"/>
            </w:pPr>
            <w:r/>
            <w:r>
              <w:rPr>
                <w:sz w:val="16"/>
              </w:rPr>
              <w:t>13,50</w:t>
            </w:r>
          </w:p>
        </w:tc>
        <w:tc>
          <w:tcPr>
            <w:tcW w:type="dxa" w:w="698"/>
          </w:tcPr>
          <w:p>
            <w:pPr>
              <w:spacing w:after="20" w:line="240" w:lineRule="auto"/>
              <w:jc w:val="center"/>
            </w:pPr>
            <w:r/>
            <w:r>
              <w:rPr>
                <w:sz w:val="16"/>
              </w:rPr>
              <w:t>28,00</w:t>
            </w:r>
          </w:p>
        </w:tc>
        <w:tc>
          <w:tcPr>
            <w:tcW w:type="dxa" w:w="698"/>
          </w:tcPr>
          <w:p>
            <w:pPr>
              <w:spacing w:after="20" w:line="240" w:lineRule="auto"/>
              <w:jc w:val="center"/>
            </w:pPr>
            <w:r/>
            <w:r>
              <w:rPr>
                <w:sz w:val="16"/>
              </w:rPr>
              <w:t>40,00</w:t>
            </w:r>
          </w:p>
        </w:tc>
        <w:tc>
          <w:tcPr>
            <w:tcW w:type="dxa" w:w="698"/>
          </w:tcPr>
          <w:p>
            <w:pPr>
              <w:spacing w:after="20" w:line="240" w:lineRule="auto"/>
              <w:jc w:val="center"/>
            </w:pPr>
            <w:r/>
            <w:r>
              <w:rPr>
                <w:sz w:val="16"/>
              </w:rPr>
              <w:t>54,00</w:t>
            </w:r>
          </w:p>
        </w:tc>
        <w:tc>
          <w:tcPr>
            <w:tcW w:type="dxa" w:w="698"/>
          </w:tcPr>
          <w:p>
            <w:pPr>
              <w:spacing w:after="20" w:line="240" w:lineRule="auto"/>
              <w:jc w:val="center"/>
            </w:pPr>
            <w:r/>
            <w:r>
              <w:rPr>
                <w:sz w:val="16"/>
              </w:rPr>
              <w:t>-0,13</w:t>
            </w:r>
          </w:p>
        </w:tc>
        <w:tc>
          <w:tcPr>
            <w:tcW w:type="dxa" w:w="698"/>
          </w:tcPr>
          <w:p>
            <w:pPr>
              <w:spacing w:after="20" w:line="240" w:lineRule="auto"/>
              <w:jc w:val="center"/>
            </w:pPr>
            <w:r/>
            <w:r>
              <w:rPr>
                <w:sz w:val="16"/>
              </w:rPr>
              <w:t>-1.221</w:t>
            </w:r>
          </w:p>
        </w:tc>
        <w:tc>
          <w:tcPr>
            <w:tcW w:type="dxa" w:w="698"/>
          </w:tcPr>
          <w:p>
            <w:pPr>
              <w:spacing w:after="20" w:line="240" w:lineRule="auto"/>
              <w:jc w:val="center"/>
            </w:pPr>
            <w:r/>
            <w:r>
              <w:rPr>
                <w:sz w:val="16"/>
              </w:rPr>
              <w:t>54</w:t>
            </w:r>
          </w:p>
        </w:tc>
        <w:tc>
          <w:tcPr>
            <w:tcW w:type="dxa" w:w="698"/>
          </w:tcPr>
          <w:p>
            <w:pPr>
              <w:spacing w:after="20" w:line="240" w:lineRule="auto"/>
              <w:jc w:val="center"/>
            </w:pPr>
            <w:r/>
            <w:r>
              <w:rPr>
                <w:sz w:val="16"/>
              </w:rPr>
              <w:t>49</w:t>
            </w:r>
          </w:p>
        </w:tc>
      </w:tr>
    </w:tbl>
    <w:p>
      <w:pPr>
        <w:spacing w:after="80"/>
      </w:pPr>
    </w:p>
    <w:p>
      <w:pPr>
        <w:jc w:val="both"/>
      </w:pPr>
      <w:r>
        <w:rPr>
          <w:b w:val="0"/>
          <w:i w:val="0"/>
        </w:rPr>
        <w:t>A Figura 2 mostra os histogramas. x1 e x9 são aproximadamente uniformes; x2, x6, x7 e x8 são discretas e ligeiramente assimétricas à direita; x3, x4 e x5 concentram-se à esquerda com caudas longas. Os diagramas de caixa (Figura 3) confirmam a presença de valores extremos em x3, x5, x7 e x8, e a degenerescência de x4, em que a caixa colapsa num único valor.</w:t>
      </w:r>
    </w:p>
    <w:p>
      <w:pPr>
        <w:keepNext/>
        <w:jc w:val="center"/>
      </w:pPr>
      <w:r>
        <w:drawing>
          <wp:inline xmlns:a="http://schemas.openxmlformats.org/drawingml/2006/main" xmlns:pic="http://schemas.openxmlformats.org/drawingml/2006/picture">
            <wp:extent cx="5580000" cy="4464000"/>
            <wp:docPr id="2" name="Picture 2"/>
            <wp:cNvGraphicFramePr>
              <a:graphicFrameLocks noChangeAspect="1"/>
            </wp:cNvGraphicFramePr>
            <a:graphic>
              <a:graphicData uri="http://schemas.openxmlformats.org/drawingml/2006/picture">
                <pic:pic>
                  <pic:nvPicPr>
                    <pic:cNvPr id="0" name="hist_x.png"/>
                    <pic:cNvPicPr/>
                  </pic:nvPicPr>
                  <pic:blipFill>
                    <a:blip r:embed="rId10"/>
                    <a:stretch>
                      <a:fillRect/>
                    </a:stretch>
                  </pic:blipFill>
                  <pic:spPr>
                    <a:xfrm>
                      <a:off x="0" y="0"/>
                      <a:ext cx="5580000" cy="4464000"/>
                    </a:xfrm>
                    <a:prstGeom prst="rect"/>
                  </pic:spPr>
                </pic:pic>
              </a:graphicData>
            </a:graphic>
          </wp:inline>
        </w:drawing>
      </w:r>
    </w:p>
    <w:p>
      <w:pPr>
        <w:spacing w:after="200"/>
        <w:jc w:val="center"/>
      </w:pPr>
      <w:r>
        <w:rPr>
          <w:i/>
          <w:sz w:val="19"/>
        </w:rPr>
        <w:t>Figura 2 – Histogramas das variáveis contínuas.</w:t>
      </w:r>
    </w:p>
    <w:p>
      <w:pPr>
        <w:keepNext/>
        <w:jc w:val="center"/>
      </w:pPr>
      <w:r>
        <w:drawing>
          <wp:inline xmlns:a="http://schemas.openxmlformats.org/drawingml/2006/main" xmlns:pic="http://schemas.openxmlformats.org/drawingml/2006/picture">
            <wp:extent cx="5580000" cy="4464000"/>
            <wp:docPr id="3" name="Picture 3"/>
            <wp:cNvGraphicFramePr>
              <a:graphicFrameLocks noChangeAspect="1"/>
            </wp:cNvGraphicFramePr>
            <a:graphic>
              <a:graphicData uri="http://schemas.openxmlformats.org/drawingml/2006/picture">
                <pic:pic>
                  <pic:nvPicPr>
                    <pic:cNvPr id="0" name="box_x.png"/>
                    <pic:cNvPicPr/>
                  </pic:nvPicPr>
                  <pic:blipFill>
                    <a:blip r:embed="rId11"/>
                    <a:stretch>
                      <a:fillRect/>
                    </a:stretch>
                  </pic:blipFill>
                  <pic:spPr>
                    <a:xfrm>
                      <a:off x="0" y="0"/>
                      <a:ext cx="5580000" cy="4464000"/>
                    </a:xfrm>
                    <a:prstGeom prst="rect"/>
                  </pic:spPr>
                </pic:pic>
              </a:graphicData>
            </a:graphic>
          </wp:inline>
        </w:drawing>
      </w:r>
    </w:p>
    <w:p>
      <w:pPr>
        <w:spacing w:after="200"/>
        <w:jc w:val="center"/>
      </w:pPr>
      <w:r>
        <w:rPr>
          <w:i/>
          <w:sz w:val="19"/>
        </w:rPr>
        <w:t>Figura 3 – Diagramas de caixa das variáveis contínuas.</w:t>
      </w:r>
    </w:p>
    <w:p>
      <w:pPr>
        <w:jc w:val="both"/>
      </w:pPr>
      <w:r>
        <w:rPr>
          <w:b w:val="0"/>
          <w:i w:val="0"/>
        </w:rPr>
        <w:t>As densidades por classe (Figura 4) e os diagramas de caixa por classe (Figura 5) permitem uma primeira leitura do poder discriminativo. As distribuições de x5 e x9 diferem visivelmente entre classes: os produtos com desconto tendem a ter valores de x5 mais elevados e valores de x9 mais altos, e não aparecem com x9 em falta. Para x1, x2 e x8 as distribuições das duas classes quase coincidem.</w:t>
      </w:r>
    </w:p>
    <w:p>
      <w:pPr>
        <w:keepNext/>
        <w:jc w:val="center"/>
      </w:pPr>
      <w:r>
        <w:drawing>
          <wp:inline xmlns:a="http://schemas.openxmlformats.org/drawingml/2006/main" xmlns:pic="http://schemas.openxmlformats.org/drawingml/2006/picture">
            <wp:extent cx="5580000" cy="4464000"/>
            <wp:docPr id="4" name="Picture 4"/>
            <wp:cNvGraphicFramePr>
              <a:graphicFrameLocks noChangeAspect="1"/>
            </wp:cNvGraphicFramePr>
            <a:graphic>
              <a:graphicData uri="http://schemas.openxmlformats.org/drawingml/2006/picture">
                <pic:pic>
                  <pic:nvPicPr>
                    <pic:cNvPr id="0" name="kde_x_by_y.png"/>
                    <pic:cNvPicPr/>
                  </pic:nvPicPr>
                  <pic:blipFill>
                    <a:blip r:embed="rId12"/>
                    <a:stretch>
                      <a:fillRect/>
                    </a:stretch>
                  </pic:blipFill>
                  <pic:spPr>
                    <a:xfrm>
                      <a:off x="0" y="0"/>
                      <a:ext cx="5580000" cy="4464000"/>
                    </a:xfrm>
                    <a:prstGeom prst="rect"/>
                  </pic:spPr>
                </pic:pic>
              </a:graphicData>
            </a:graphic>
          </wp:inline>
        </w:drawing>
      </w:r>
    </w:p>
    <w:p>
      <w:pPr>
        <w:spacing w:after="200"/>
        <w:jc w:val="center"/>
      </w:pPr>
      <w:r>
        <w:rPr>
          <w:i/>
          <w:sz w:val="19"/>
        </w:rPr>
        <w:t>Figura 4 – Densidades das variáveis contínuas por classe.</w:t>
      </w:r>
    </w:p>
    <w:p>
      <w:pPr>
        <w:keepNext/>
        <w:jc w:val="center"/>
      </w:pPr>
      <w:r>
        <w:drawing>
          <wp:inline xmlns:a="http://schemas.openxmlformats.org/drawingml/2006/main" xmlns:pic="http://schemas.openxmlformats.org/drawingml/2006/picture">
            <wp:extent cx="5580000" cy="4464000"/>
            <wp:docPr id="5" name="Picture 5"/>
            <wp:cNvGraphicFramePr>
              <a:graphicFrameLocks noChangeAspect="1"/>
            </wp:cNvGraphicFramePr>
            <a:graphic>
              <a:graphicData uri="http://schemas.openxmlformats.org/drawingml/2006/picture">
                <pic:pic>
                  <pic:nvPicPr>
                    <pic:cNvPr id="0" name="box_x_by_y.png"/>
                    <pic:cNvPicPr/>
                  </pic:nvPicPr>
                  <pic:blipFill>
                    <a:blip r:embed="rId13"/>
                    <a:stretch>
                      <a:fillRect/>
                    </a:stretch>
                  </pic:blipFill>
                  <pic:spPr>
                    <a:xfrm>
                      <a:off x="0" y="0"/>
                      <a:ext cx="5580000" cy="4464000"/>
                    </a:xfrm>
                    <a:prstGeom prst="rect"/>
                  </pic:spPr>
                </pic:pic>
              </a:graphicData>
            </a:graphic>
          </wp:inline>
        </w:drawing>
      </w:r>
    </w:p>
    <w:p>
      <w:pPr>
        <w:spacing w:after="200"/>
        <w:jc w:val="center"/>
      </w:pPr>
      <w:r>
        <w:rPr>
          <w:i/>
          <w:sz w:val="19"/>
        </w:rPr>
        <w:t>Figura 5 – Diagramas de caixa das variáveis contínuas por classe.</w:t>
      </w:r>
    </w:p>
    <w:p>
      <w:pPr>
        <w:pStyle w:val="Heading3"/>
      </w:pPr>
      <w:r>
        <w:t>2.2.3 Variáveis discretas</w:t>
      </w:r>
    </w:p>
    <w:p>
      <w:pPr>
        <w:jc w:val="both"/>
      </w:pPr>
      <w:r>
        <w:rPr>
          <w:b w:val="0"/>
          <w:i w:val="0"/>
        </w:rPr>
        <w:t>As 17 variáveis d são binárias e a soma por linha varia entre 0 e 3 (371 registos com soma 0, 2 775 com soma 1, 521 com soma 2 e 9 com soma 3). O comportamento é compatível com uma codificação one-hot incompleta (uma variável por categoria) de uma ou mais variáveis categóricas, mas o enunciado não o confirma. A Tabela 2 mostra a prevalência de cada variável e a taxa de desconto condicional; a Figura 6 representa os mesmos dados.</w:t>
      </w:r>
    </w:p>
    <w:p>
      <w:pPr>
        <w:keepNext/>
        <w:spacing w:after="60"/>
        <w:jc w:val="center"/>
      </w:pPr>
      <w:r>
        <w:rPr>
          <w:i/>
          <w:sz w:val="19"/>
        </w:rPr>
        <w:t>Tabela 2 – Prevalência das variáveis discretas e taxa de desconto condicional (treino; taxa global = 20,6%).</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9B1C2E"/>
          </w:tcPr>
          <w:p>
            <w:pPr>
              <w:spacing w:after="20" w:line="240" w:lineRule="auto"/>
              <w:jc w:val="center"/>
            </w:pPr>
            <w:r/>
            <w:r>
              <w:rPr>
                <w:b/>
                <w:color w:val="FFFFFF"/>
                <w:sz w:val="17"/>
              </w:rPr>
              <w:t>var.</w:t>
            </w:r>
          </w:p>
        </w:tc>
        <w:tc>
          <w:tcPr>
            <w:tcW w:type="dxa" w:w="1814"/>
            <w:shd w:val="clear" w:color="auto" w:fill="9B1C2E"/>
          </w:tcPr>
          <w:p>
            <w:pPr>
              <w:spacing w:after="20" w:line="240" w:lineRule="auto"/>
              <w:jc w:val="center"/>
            </w:pPr>
            <w:r/>
            <w:r>
              <w:rPr>
                <w:b/>
                <w:color w:val="FFFFFF"/>
                <w:sz w:val="17"/>
              </w:rPr>
              <w:t>prevalência (%)</w:t>
            </w:r>
          </w:p>
        </w:tc>
        <w:tc>
          <w:tcPr>
            <w:tcW w:type="dxa" w:w="1814"/>
            <w:shd w:val="clear" w:color="auto" w:fill="9B1C2E"/>
          </w:tcPr>
          <w:p>
            <w:pPr>
              <w:spacing w:after="20" w:line="240" w:lineRule="auto"/>
              <w:jc w:val="center"/>
            </w:pPr>
            <w:r/>
            <w:r>
              <w:rPr>
                <w:b/>
                <w:color w:val="FFFFFF"/>
                <w:sz w:val="17"/>
              </w:rPr>
              <w:t>n (d=1)</w:t>
            </w:r>
          </w:p>
        </w:tc>
        <w:tc>
          <w:tcPr>
            <w:tcW w:type="dxa" w:w="1814"/>
            <w:shd w:val="clear" w:color="auto" w:fill="9B1C2E"/>
          </w:tcPr>
          <w:p>
            <w:pPr>
              <w:spacing w:after="20" w:line="240" w:lineRule="auto"/>
              <w:jc w:val="center"/>
            </w:pPr>
            <w:r/>
            <w:r>
              <w:rPr>
                <w:b/>
                <w:color w:val="FFFFFF"/>
                <w:sz w:val="17"/>
              </w:rPr>
              <w:t>P(y=1 | d=1) (%)</w:t>
            </w:r>
          </w:p>
        </w:tc>
        <w:tc>
          <w:tcPr>
            <w:tcW w:type="dxa" w:w="1814"/>
            <w:shd w:val="clear" w:color="auto" w:fill="9B1C2E"/>
          </w:tcPr>
          <w:p>
            <w:pPr>
              <w:spacing w:after="20" w:line="240" w:lineRule="auto"/>
              <w:jc w:val="center"/>
            </w:pPr>
            <w:r/>
            <w:r>
              <w:rPr>
                <w:b/>
                <w:color w:val="FFFFFF"/>
                <w:sz w:val="17"/>
              </w:rPr>
              <w:t>P(y=1 | d=0) (%)</w:t>
            </w:r>
          </w:p>
        </w:tc>
      </w:tr>
      <w:tr>
        <w:tc>
          <w:tcPr>
            <w:tcW w:type="dxa" w:w="1814"/>
          </w:tcPr>
          <w:p>
            <w:pPr>
              <w:spacing w:after="20" w:line="240" w:lineRule="auto"/>
              <w:jc w:val="left"/>
            </w:pPr>
            <w:r/>
            <w:r>
              <w:rPr>
                <w:sz w:val="17"/>
              </w:rPr>
              <w:t>d1</w:t>
            </w:r>
          </w:p>
        </w:tc>
        <w:tc>
          <w:tcPr>
            <w:tcW w:type="dxa" w:w="1814"/>
          </w:tcPr>
          <w:p>
            <w:pPr>
              <w:spacing w:after="20" w:line="240" w:lineRule="auto"/>
              <w:jc w:val="center"/>
            </w:pPr>
            <w:r/>
            <w:r>
              <w:rPr>
                <w:sz w:val="17"/>
              </w:rPr>
              <w:t>5,93</w:t>
            </w:r>
          </w:p>
        </w:tc>
        <w:tc>
          <w:tcPr>
            <w:tcW w:type="dxa" w:w="1814"/>
          </w:tcPr>
          <w:p>
            <w:pPr>
              <w:spacing w:after="20" w:line="240" w:lineRule="auto"/>
              <w:jc w:val="center"/>
            </w:pPr>
            <w:r/>
            <w:r>
              <w:rPr>
                <w:sz w:val="17"/>
              </w:rPr>
              <w:t>218</w:t>
            </w:r>
          </w:p>
        </w:tc>
        <w:tc>
          <w:tcPr>
            <w:tcW w:type="dxa" w:w="1814"/>
          </w:tcPr>
          <w:p>
            <w:pPr>
              <w:spacing w:after="20" w:line="240" w:lineRule="auto"/>
              <w:jc w:val="center"/>
            </w:pPr>
            <w:r/>
            <w:r>
              <w:rPr>
                <w:sz w:val="17"/>
              </w:rPr>
              <w:t>30,28</w:t>
            </w:r>
          </w:p>
        </w:tc>
        <w:tc>
          <w:tcPr>
            <w:tcW w:type="dxa" w:w="1814"/>
          </w:tcPr>
          <w:p>
            <w:pPr>
              <w:spacing w:after="20" w:line="240" w:lineRule="auto"/>
              <w:jc w:val="center"/>
            </w:pPr>
            <w:r/>
            <w:r>
              <w:rPr>
                <w:sz w:val="17"/>
              </w:rPr>
              <w:t>19,95</w:t>
            </w:r>
          </w:p>
        </w:tc>
      </w:tr>
      <w:tr>
        <w:tc>
          <w:tcPr>
            <w:tcW w:type="dxa" w:w="1814"/>
            <w:shd w:val="clear" w:color="auto" w:fill="F2F2F2"/>
          </w:tcPr>
          <w:p>
            <w:pPr>
              <w:spacing w:after="20" w:line="240" w:lineRule="auto"/>
              <w:jc w:val="left"/>
            </w:pPr>
            <w:r/>
            <w:r>
              <w:rPr>
                <w:sz w:val="17"/>
              </w:rPr>
              <w:t>d2</w:t>
            </w:r>
          </w:p>
        </w:tc>
        <w:tc>
          <w:tcPr>
            <w:tcW w:type="dxa" w:w="1814"/>
            <w:shd w:val="clear" w:color="auto" w:fill="F2F2F2"/>
          </w:tcPr>
          <w:p>
            <w:pPr>
              <w:spacing w:after="20" w:line="240" w:lineRule="auto"/>
              <w:jc w:val="center"/>
            </w:pPr>
            <w:r/>
            <w:r>
              <w:rPr>
                <w:sz w:val="17"/>
              </w:rPr>
              <w:t>13,96</w:t>
            </w:r>
          </w:p>
        </w:tc>
        <w:tc>
          <w:tcPr>
            <w:tcW w:type="dxa" w:w="1814"/>
            <w:shd w:val="clear" w:color="auto" w:fill="F2F2F2"/>
          </w:tcPr>
          <w:p>
            <w:pPr>
              <w:spacing w:after="20" w:line="240" w:lineRule="auto"/>
              <w:jc w:val="center"/>
            </w:pPr>
            <w:r/>
            <w:r>
              <w:rPr>
                <w:sz w:val="17"/>
              </w:rPr>
              <w:t>513</w:t>
            </w:r>
          </w:p>
        </w:tc>
        <w:tc>
          <w:tcPr>
            <w:tcW w:type="dxa" w:w="1814"/>
            <w:shd w:val="clear" w:color="auto" w:fill="F2F2F2"/>
          </w:tcPr>
          <w:p>
            <w:pPr>
              <w:spacing w:after="20" w:line="240" w:lineRule="auto"/>
              <w:jc w:val="center"/>
            </w:pPr>
            <w:r/>
            <w:r>
              <w:rPr>
                <w:sz w:val="17"/>
              </w:rPr>
              <w:t>24,76</w:t>
            </w:r>
          </w:p>
        </w:tc>
        <w:tc>
          <w:tcPr>
            <w:tcW w:type="dxa" w:w="1814"/>
            <w:shd w:val="clear" w:color="auto" w:fill="F2F2F2"/>
          </w:tcPr>
          <w:p>
            <w:pPr>
              <w:spacing w:after="20" w:line="240" w:lineRule="auto"/>
              <w:jc w:val="center"/>
            </w:pPr>
            <w:r/>
            <w:r>
              <w:rPr>
                <w:sz w:val="17"/>
              </w:rPr>
              <w:t>19,89</w:t>
            </w:r>
          </w:p>
        </w:tc>
      </w:tr>
      <w:tr>
        <w:tc>
          <w:tcPr>
            <w:tcW w:type="dxa" w:w="1814"/>
          </w:tcPr>
          <w:p>
            <w:pPr>
              <w:spacing w:after="20" w:line="240" w:lineRule="auto"/>
              <w:jc w:val="left"/>
            </w:pPr>
            <w:r/>
            <w:r>
              <w:rPr>
                <w:sz w:val="17"/>
              </w:rPr>
              <w:t>d3</w:t>
            </w:r>
          </w:p>
        </w:tc>
        <w:tc>
          <w:tcPr>
            <w:tcW w:type="dxa" w:w="1814"/>
          </w:tcPr>
          <w:p>
            <w:pPr>
              <w:spacing w:after="20" w:line="240" w:lineRule="auto"/>
              <w:jc w:val="center"/>
            </w:pPr>
            <w:r/>
            <w:r>
              <w:rPr>
                <w:sz w:val="17"/>
              </w:rPr>
              <w:t>2,01</w:t>
            </w:r>
          </w:p>
        </w:tc>
        <w:tc>
          <w:tcPr>
            <w:tcW w:type="dxa" w:w="1814"/>
          </w:tcPr>
          <w:p>
            <w:pPr>
              <w:spacing w:after="20" w:line="240" w:lineRule="auto"/>
              <w:jc w:val="center"/>
            </w:pPr>
            <w:r/>
            <w:r>
              <w:rPr>
                <w:sz w:val="17"/>
              </w:rPr>
              <w:t>74</w:t>
            </w:r>
          </w:p>
        </w:tc>
        <w:tc>
          <w:tcPr>
            <w:tcW w:type="dxa" w:w="1814"/>
          </w:tcPr>
          <w:p>
            <w:pPr>
              <w:spacing w:after="20" w:line="240" w:lineRule="auto"/>
              <w:jc w:val="center"/>
            </w:pPr>
            <w:r/>
            <w:r>
              <w:rPr>
                <w:sz w:val="17"/>
              </w:rPr>
              <w:t>21,62</w:t>
            </w:r>
          </w:p>
        </w:tc>
        <w:tc>
          <w:tcPr>
            <w:tcW w:type="dxa" w:w="1814"/>
          </w:tcPr>
          <w:p>
            <w:pPr>
              <w:spacing w:after="20" w:line="240" w:lineRule="auto"/>
              <w:jc w:val="center"/>
            </w:pPr>
            <w:r/>
            <w:r>
              <w:rPr>
                <w:sz w:val="17"/>
              </w:rPr>
              <w:t>20,54</w:t>
            </w:r>
          </w:p>
        </w:tc>
      </w:tr>
      <w:tr>
        <w:tc>
          <w:tcPr>
            <w:tcW w:type="dxa" w:w="1814"/>
            <w:shd w:val="clear" w:color="auto" w:fill="F2F2F2"/>
          </w:tcPr>
          <w:p>
            <w:pPr>
              <w:spacing w:after="20" w:line="240" w:lineRule="auto"/>
              <w:jc w:val="left"/>
            </w:pPr>
            <w:r/>
            <w:r>
              <w:rPr>
                <w:sz w:val="17"/>
              </w:rPr>
              <w:t>d4</w:t>
            </w:r>
          </w:p>
        </w:tc>
        <w:tc>
          <w:tcPr>
            <w:tcW w:type="dxa" w:w="1814"/>
            <w:shd w:val="clear" w:color="auto" w:fill="F2F2F2"/>
          </w:tcPr>
          <w:p>
            <w:pPr>
              <w:spacing w:after="20" w:line="240" w:lineRule="auto"/>
              <w:jc w:val="center"/>
            </w:pPr>
            <w:r/>
            <w:r>
              <w:rPr>
                <w:sz w:val="17"/>
              </w:rPr>
              <w:t>17,06</w:t>
            </w:r>
          </w:p>
        </w:tc>
        <w:tc>
          <w:tcPr>
            <w:tcW w:type="dxa" w:w="1814"/>
            <w:shd w:val="clear" w:color="auto" w:fill="F2F2F2"/>
          </w:tcPr>
          <w:p>
            <w:pPr>
              <w:spacing w:after="20" w:line="240" w:lineRule="auto"/>
              <w:jc w:val="center"/>
            </w:pPr>
            <w:r/>
            <w:r>
              <w:rPr>
                <w:sz w:val="17"/>
              </w:rPr>
              <w:t>627</w:t>
            </w:r>
          </w:p>
        </w:tc>
        <w:tc>
          <w:tcPr>
            <w:tcW w:type="dxa" w:w="1814"/>
            <w:shd w:val="clear" w:color="auto" w:fill="F2F2F2"/>
          </w:tcPr>
          <w:p>
            <w:pPr>
              <w:spacing w:after="20" w:line="240" w:lineRule="auto"/>
              <w:jc w:val="center"/>
            </w:pPr>
            <w:r/>
            <w:r>
              <w:rPr>
                <w:sz w:val="17"/>
              </w:rPr>
              <w:t>25,04</w:t>
            </w:r>
          </w:p>
        </w:tc>
        <w:tc>
          <w:tcPr>
            <w:tcW w:type="dxa" w:w="1814"/>
            <w:shd w:val="clear" w:color="auto" w:fill="F2F2F2"/>
          </w:tcPr>
          <w:p>
            <w:pPr>
              <w:spacing w:after="20" w:line="240" w:lineRule="auto"/>
              <w:jc w:val="center"/>
            </w:pPr>
            <w:r/>
            <w:r>
              <w:rPr>
                <w:sz w:val="17"/>
              </w:rPr>
              <w:t>19,65</w:t>
            </w:r>
          </w:p>
        </w:tc>
      </w:tr>
      <w:tr>
        <w:tc>
          <w:tcPr>
            <w:tcW w:type="dxa" w:w="1814"/>
          </w:tcPr>
          <w:p>
            <w:pPr>
              <w:spacing w:after="20" w:line="240" w:lineRule="auto"/>
              <w:jc w:val="left"/>
            </w:pPr>
            <w:r/>
            <w:r>
              <w:rPr>
                <w:sz w:val="17"/>
              </w:rPr>
              <w:t>d5</w:t>
            </w:r>
          </w:p>
        </w:tc>
        <w:tc>
          <w:tcPr>
            <w:tcW w:type="dxa" w:w="1814"/>
          </w:tcPr>
          <w:p>
            <w:pPr>
              <w:spacing w:after="20" w:line="240" w:lineRule="auto"/>
              <w:jc w:val="center"/>
            </w:pPr>
            <w:r/>
            <w:r>
              <w:rPr>
                <w:sz w:val="17"/>
              </w:rPr>
              <w:t>11,34</w:t>
            </w:r>
          </w:p>
        </w:tc>
        <w:tc>
          <w:tcPr>
            <w:tcW w:type="dxa" w:w="1814"/>
          </w:tcPr>
          <w:p>
            <w:pPr>
              <w:spacing w:after="20" w:line="240" w:lineRule="auto"/>
              <w:jc w:val="center"/>
            </w:pPr>
            <w:r/>
            <w:r>
              <w:rPr>
                <w:sz w:val="17"/>
              </w:rPr>
              <w:t>417</w:t>
            </w:r>
          </w:p>
        </w:tc>
        <w:tc>
          <w:tcPr>
            <w:tcW w:type="dxa" w:w="1814"/>
          </w:tcPr>
          <w:p>
            <w:pPr>
              <w:spacing w:after="20" w:line="240" w:lineRule="auto"/>
              <w:jc w:val="center"/>
            </w:pPr>
            <w:r/>
            <w:r>
              <w:rPr>
                <w:sz w:val="17"/>
              </w:rPr>
              <w:t>3,12</w:t>
            </w:r>
          </w:p>
        </w:tc>
        <w:tc>
          <w:tcPr>
            <w:tcW w:type="dxa" w:w="1814"/>
          </w:tcPr>
          <w:p>
            <w:pPr>
              <w:spacing w:after="20" w:line="240" w:lineRule="auto"/>
              <w:jc w:val="center"/>
            </w:pPr>
            <w:r/>
            <w:r>
              <w:rPr>
                <w:sz w:val="17"/>
              </w:rPr>
              <w:t>22,80</w:t>
            </w:r>
          </w:p>
        </w:tc>
      </w:tr>
      <w:tr>
        <w:tc>
          <w:tcPr>
            <w:tcW w:type="dxa" w:w="1814"/>
            <w:shd w:val="clear" w:color="auto" w:fill="F2F2F2"/>
          </w:tcPr>
          <w:p>
            <w:pPr>
              <w:spacing w:after="20" w:line="240" w:lineRule="auto"/>
              <w:jc w:val="left"/>
            </w:pPr>
            <w:r/>
            <w:r>
              <w:rPr>
                <w:sz w:val="17"/>
              </w:rPr>
              <w:t>d7</w:t>
            </w:r>
          </w:p>
        </w:tc>
        <w:tc>
          <w:tcPr>
            <w:tcW w:type="dxa" w:w="1814"/>
            <w:shd w:val="clear" w:color="auto" w:fill="F2F2F2"/>
          </w:tcPr>
          <w:p>
            <w:pPr>
              <w:spacing w:after="20" w:line="240" w:lineRule="auto"/>
              <w:jc w:val="center"/>
            </w:pPr>
            <w:r/>
            <w:r>
              <w:rPr>
                <w:sz w:val="17"/>
              </w:rPr>
              <w:t>1,52</w:t>
            </w:r>
          </w:p>
        </w:tc>
        <w:tc>
          <w:tcPr>
            <w:tcW w:type="dxa" w:w="1814"/>
            <w:shd w:val="clear" w:color="auto" w:fill="F2F2F2"/>
          </w:tcPr>
          <w:p>
            <w:pPr>
              <w:spacing w:after="20" w:line="240" w:lineRule="auto"/>
              <w:jc w:val="center"/>
            </w:pPr>
            <w:r/>
            <w:r>
              <w:rPr>
                <w:sz w:val="17"/>
              </w:rPr>
              <w:t>56</w:t>
            </w:r>
          </w:p>
        </w:tc>
        <w:tc>
          <w:tcPr>
            <w:tcW w:type="dxa" w:w="1814"/>
            <w:shd w:val="clear" w:color="auto" w:fill="F2F2F2"/>
          </w:tcPr>
          <w:p>
            <w:pPr>
              <w:spacing w:after="20" w:line="240" w:lineRule="auto"/>
              <w:jc w:val="center"/>
            </w:pPr>
            <w:r/>
            <w:r>
              <w:rPr>
                <w:sz w:val="17"/>
              </w:rPr>
              <w:t>23,21</w:t>
            </w:r>
          </w:p>
        </w:tc>
        <w:tc>
          <w:tcPr>
            <w:tcW w:type="dxa" w:w="1814"/>
            <w:shd w:val="clear" w:color="auto" w:fill="F2F2F2"/>
          </w:tcPr>
          <w:p>
            <w:pPr>
              <w:spacing w:after="20" w:line="240" w:lineRule="auto"/>
              <w:jc w:val="center"/>
            </w:pPr>
            <w:r/>
            <w:r>
              <w:rPr>
                <w:sz w:val="17"/>
              </w:rPr>
              <w:t>20,52</w:t>
            </w:r>
          </w:p>
        </w:tc>
      </w:tr>
      <w:tr>
        <w:tc>
          <w:tcPr>
            <w:tcW w:type="dxa" w:w="1814"/>
          </w:tcPr>
          <w:p>
            <w:pPr>
              <w:spacing w:after="20" w:line="240" w:lineRule="auto"/>
              <w:jc w:val="left"/>
            </w:pPr>
            <w:r/>
            <w:r>
              <w:rPr>
                <w:sz w:val="17"/>
              </w:rPr>
              <w:t>d8</w:t>
            </w:r>
          </w:p>
        </w:tc>
        <w:tc>
          <w:tcPr>
            <w:tcW w:type="dxa" w:w="1814"/>
          </w:tcPr>
          <w:p>
            <w:pPr>
              <w:spacing w:after="20" w:line="240" w:lineRule="auto"/>
              <w:jc w:val="center"/>
            </w:pPr>
            <w:r/>
            <w:r>
              <w:rPr>
                <w:sz w:val="17"/>
              </w:rPr>
              <w:t>2,04</w:t>
            </w:r>
          </w:p>
        </w:tc>
        <w:tc>
          <w:tcPr>
            <w:tcW w:type="dxa" w:w="1814"/>
          </w:tcPr>
          <w:p>
            <w:pPr>
              <w:spacing w:after="20" w:line="240" w:lineRule="auto"/>
              <w:jc w:val="center"/>
            </w:pPr>
            <w:r/>
            <w:r>
              <w:rPr>
                <w:sz w:val="17"/>
              </w:rPr>
              <w:t>75</w:t>
            </w:r>
          </w:p>
        </w:tc>
        <w:tc>
          <w:tcPr>
            <w:tcW w:type="dxa" w:w="1814"/>
          </w:tcPr>
          <w:p>
            <w:pPr>
              <w:spacing w:after="20" w:line="240" w:lineRule="auto"/>
              <w:jc w:val="center"/>
            </w:pPr>
            <w:r/>
            <w:r>
              <w:rPr>
                <w:sz w:val="17"/>
              </w:rPr>
              <w:t>33,33</w:t>
            </w:r>
          </w:p>
        </w:tc>
        <w:tc>
          <w:tcPr>
            <w:tcW w:type="dxa" w:w="1814"/>
          </w:tcPr>
          <w:p>
            <w:pPr>
              <w:spacing w:after="20" w:line="240" w:lineRule="auto"/>
              <w:jc w:val="center"/>
            </w:pPr>
            <w:r/>
            <w:r>
              <w:rPr>
                <w:sz w:val="17"/>
              </w:rPr>
              <w:t>20,30</w:t>
            </w:r>
          </w:p>
        </w:tc>
      </w:tr>
      <w:tr>
        <w:tc>
          <w:tcPr>
            <w:tcW w:type="dxa" w:w="1814"/>
            <w:shd w:val="clear" w:color="auto" w:fill="F2F2F2"/>
          </w:tcPr>
          <w:p>
            <w:pPr>
              <w:spacing w:after="20" w:line="240" w:lineRule="auto"/>
              <w:jc w:val="left"/>
            </w:pPr>
            <w:r/>
            <w:r>
              <w:rPr>
                <w:sz w:val="17"/>
              </w:rPr>
              <w:t>d9</w:t>
            </w:r>
          </w:p>
        </w:tc>
        <w:tc>
          <w:tcPr>
            <w:tcW w:type="dxa" w:w="1814"/>
            <w:shd w:val="clear" w:color="auto" w:fill="F2F2F2"/>
          </w:tcPr>
          <w:p>
            <w:pPr>
              <w:spacing w:after="20" w:line="240" w:lineRule="auto"/>
              <w:jc w:val="center"/>
            </w:pPr>
            <w:r/>
            <w:r>
              <w:rPr>
                <w:sz w:val="17"/>
              </w:rPr>
              <w:t>12,84</w:t>
            </w:r>
          </w:p>
        </w:tc>
        <w:tc>
          <w:tcPr>
            <w:tcW w:type="dxa" w:w="1814"/>
            <w:shd w:val="clear" w:color="auto" w:fill="F2F2F2"/>
          </w:tcPr>
          <w:p>
            <w:pPr>
              <w:spacing w:after="20" w:line="240" w:lineRule="auto"/>
              <w:jc w:val="center"/>
            </w:pPr>
            <w:r/>
            <w:r>
              <w:rPr>
                <w:sz w:val="17"/>
              </w:rPr>
              <w:t>472</w:t>
            </w:r>
          </w:p>
        </w:tc>
        <w:tc>
          <w:tcPr>
            <w:tcW w:type="dxa" w:w="1814"/>
            <w:shd w:val="clear" w:color="auto" w:fill="F2F2F2"/>
          </w:tcPr>
          <w:p>
            <w:pPr>
              <w:spacing w:after="20" w:line="240" w:lineRule="auto"/>
              <w:jc w:val="center"/>
            </w:pPr>
            <w:r/>
            <w:r>
              <w:rPr>
                <w:sz w:val="17"/>
              </w:rPr>
              <w:t>11,02</w:t>
            </w:r>
          </w:p>
        </w:tc>
        <w:tc>
          <w:tcPr>
            <w:tcW w:type="dxa" w:w="1814"/>
            <w:shd w:val="clear" w:color="auto" w:fill="F2F2F2"/>
          </w:tcPr>
          <w:p>
            <w:pPr>
              <w:spacing w:after="20" w:line="240" w:lineRule="auto"/>
              <w:jc w:val="center"/>
            </w:pPr>
            <w:r/>
            <w:r>
              <w:rPr>
                <w:sz w:val="17"/>
              </w:rPr>
              <w:t>21,97</w:t>
            </w:r>
          </w:p>
        </w:tc>
      </w:tr>
      <w:tr>
        <w:tc>
          <w:tcPr>
            <w:tcW w:type="dxa" w:w="1814"/>
          </w:tcPr>
          <w:p>
            <w:pPr>
              <w:spacing w:after="20" w:line="240" w:lineRule="auto"/>
              <w:jc w:val="left"/>
            </w:pPr>
            <w:r/>
            <w:r>
              <w:rPr>
                <w:sz w:val="17"/>
              </w:rPr>
              <w:t>d10</w:t>
            </w:r>
          </w:p>
        </w:tc>
        <w:tc>
          <w:tcPr>
            <w:tcW w:type="dxa" w:w="1814"/>
          </w:tcPr>
          <w:p>
            <w:pPr>
              <w:spacing w:after="20" w:line="240" w:lineRule="auto"/>
              <w:jc w:val="center"/>
            </w:pPr>
            <w:r/>
            <w:r>
              <w:rPr>
                <w:sz w:val="17"/>
              </w:rPr>
              <w:t>2,67</w:t>
            </w:r>
          </w:p>
        </w:tc>
        <w:tc>
          <w:tcPr>
            <w:tcW w:type="dxa" w:w="1814"/>
          </w:tcPr>
          <w:p>
            <w:pPr>
              <w:spacing w:after="20" w:line="240" w:lineRule="auto"/>
              <w:jc w:val="center"/>
            </w:pPr>
            <w:r/>
            <w:r>
              <w:rPr>
                <w:sz w:val="17"/>
              </w:rPr>
              <w:t>98</w:t>
            </w:r>
          </w:p>
        </w:tc>
        <w:tc>
          <w:tcPr>
            <w:tcW w:type="dxa" w:w="1814"/>
          </w:tcPr>
          <w:p>
            <w:pPr>
              <w:spacing w:after="20" w:line="240" w:lineRule="auto"/>
              <w:jc w:val="center"/>
            </w:pPr>
            <w:r/>
            <w:r>
              <w:rPr>
                <w:sz w:val="17"/>
              </w:rPr>
              <w:t>9,18</w:t>
            </w:r>
          </w:p>
        </w:tc>
        <w:tc>
          <w:tcPr>
            <w:tcW w:type="dxa" w:w="1814"/>
          </w:tcPr>
          <w:p>
            <w:pPr>
              <w:spacing w:after="20" w:line="240" w:lineRule="auto"/>
              <w:jc w:val="center"/>
            </w:pPr>
            <w:r/>
            <w:r>
              <w:rPr>
                <w:sz w:val="17"/>
              </w:rPr>
              <w:t>20,88</w:t>
            </w:r>
          </w:p>
        </w:tc>
      </w:tr>
      <w:tr>
        <w:tc>
          <w:tcPr>
            <w:tcW w:type="dxa" w:w="1814"/>
            <w:shd w:val="clear" w:color="auto" w:fill="F2F2F2"/>
          </w:tcPr>
          <w:p>
            <w:pPr>
              <w:spacing w:after="20" w:line="240" w:lineRule="auto"/>
              <w:jc w:val="left"/>
            </w:pPr>
            <w:r/>
            <w:r>
              <w:rPr>
                <w:sz w:val="17"/>
              </w:rPr>
              <w:t>d11</w:t>
            </w:r>
          </w:p>
        </w:tc>
        <w:tc>
          <w:tcPr>
            <w:tcW w:type="dxa" w:w="1814"/>
            <w:shd w:val="clear" w:color="auto" w:fill="F2F2F2"/>
          </w:tcPr>
          <w:p>
            <w:pPr>
              <w:spacing w:after="20" w:line="240" w:lineRule="auto"/>
              <w:jc w:val="center"/>
            </w:pPr>
            <w:r/>
            <w:r>
              <w:rPr>
                <w:sz w:val="17"/>
              </w:rPr>
              <w:t>6,09</w:t>
            </w:r>
          </w:p>
        </w:tc>
        <w:tc>
          <w:tcPr>
            <w:tcW w:type="dxa" w:w="1814"/>
            <w:shd w:val="clear" w:color="auto" w:fill="F2F2F2"/>
          </w:tcPr>
          <w:p>
            <w:pPr>
              <w:spacing w:after="20" w:line="240" w:lineRule="auto"/>
              <w:jc w:val="center"/>
            </w:pPr>
            <w:r/>
            <w:r>
              <w:rPr>
                <w:sz w:val="17"/>
              </w:rPr>
              <w:t>224</w:t>
            </w:r>
          </w:p>
        </w:tc>
        <w:tc>
          <w:tcPr>
            <w:tcW w:type="dxa" w:w="1814"/>
            <w:shd w:val="clear" w:color="auto" w:fill="F2F2F2"/>
          </w:tcPr>
          <w:p>
            <w:pPr>
              <w:spacing w:after="20" w:line="240" w:lineRule="auto"/>
              <w:jc w:val="center"/>
            </w:pPr>
            <w:r/>
            <w:r>
              <w:rPr>
                <w:sz w:val="17"/>
              </w:rPr>
              <w:t>50,00</w:t>
            </w:r>
          </w:p>
        </w:tc>
        <w:tc>
          <w:tcPr>
            <w:tcW w:type="dxa" w:w="1814"/>
            <w:shd w:val="clear" w:color="auto" w:fill="F2F2F2"/>
          </w:tcPr>
          <w:p>
            <w:pPr>
              <w:spacing w:after="20" w:line="240" w:lineRule="auto"/>
              <w:jc w:val="center"/>
            </w:pPr>
            <w:r/>
            <w:r>
              <w:rPr>
                <w:sz w:val="17"/>
              </w:rPr>
              <w:t>18,66</w:t>
            </w:r>
          </w:p>
        </w:tc>
      </w:tr>
      <w:tr>
        <w:tc>
          <w:tcPr>
            <w:tcW w:type="dxa" w:w="1814"/>
          </w:tcPr>
          <w:p>
            <w:pPr>
              <w:spacing w:after="20" w:line="240" w:lineRule="auto"/>
              <w:jc w:val="left"/>
            </w:pPr>
            <w:r/>
            <w:r>
              <w:rPr>
                <w:sz w:val="17"/>
              </w:rPr>
              <w:t>d12</w:t>
            </w:r>
          </w:p>
        </w:tc>
        <w:tc>
          <w:tcPr>
            <w:tcW w:type="dxa" w:w="1814"/>
          </w:tcPr>
          <w:p>
            <w:pPr>
              <w:spacing w:after="20" w:line="240" w:lineRule="auto"/>
              <w:jc w:val="center"/>
            </w:pPr>
            <w:r/>
            <w:r>
              <w:rPr>
                <w:sz w:val="17"/>
              </w:rPr>
              <w:t>2,31</w:t>
            </w:r>
          </w:p>
        </w:tc>
        <w:tc>
          <w:tcPr>
            <w:tcW w:type="dxa" w:w="1814"/>
          </w:tcPr>
          <w:p>
            <w:pPr>
              <w:spacing w:after="20" w:line="240" w:lineRule="auto"/>
              <w:jc w:val="center"/>
            </w:pPr>
            <w:r/>
            <w:r>
              <w:rPr>
                <w:sz w:val="17"/>
              </w:rPr>
              <w:t>85</w:t>
            </w:r>
          </w:p>
        </w:tc>
        <w:tc>
          <w:tcPr>
            <w:tcW w:type="dxa" w:w="1814"/>
          </w:tcPr>
          <w:p>
            <w:pPr>
              <w:spacing w:after="20" w:line="240" w:lineRule="auto"/>
              <w:jc w:val="center"/>
            </w:pPr>
            <w:r/>
            <w:r>
              <w:rPr>
                <w:sz w:val="17"/>
              </w:rPr>
              <w:t>27,06</w:t>
            </w:r>
          </w:p>
        </w:tc>
        <w:tc>
          <w:tcPr>
            <w:tcW w:type="dxa" w:w="1814"/>
          </w:tcPr>
          <w:p>
            <w:pPr>
              <w:spacing w:after="20" w:line="240" w:lineRule="auto"/>
              <w:jc w:val="center"/>
            </w:pPr>
            <w:r/>
            <w:r>
              <w:rPr>
                <w:sz w:val="17"/>
              </w:rPr>
              <w:t>20,41</w:t>
            </w:r>
          </w:p>
        </w:tc>
      </w:tr>
      <w:tr>
        <w:tc>
          <w:tcPr>
            <w:tcW w:type="dxa" w:w="1814"/>
            <w:shd w:val="clear" w:color="auto" w:fill="F2F2F2"/>
          </w:tcPr>
          <w:p>
            <w:pPr>
              <w:spacing w:after="20" w:line="240" w:lineRule="auto"/>
              <w:jc w:val="left"/>
            </w:pPr>
            <w:r/>
            <w:r>
              <w:rPr>
                <w:sz w:val="17"/>
              </w:rPr>
              <w:t>d13</w:t>
            </w:r>
          </w:p>
        </w:tc>
        <w:tc>
          <w:tcPr>
            <w:tcW w:type="dxa" w:w="1814"/>
            <w:shd w:val="clear" w:color="auto" w:fill="F2F2F2"/>
          </w:tcPr>
          <w:p>
            <w:pPr>
              <w:spacing w:after="20" w:line="240" w:lineRule="auto"/>
              <w:jc w:val="center"/>
            </w:pPr>
            <w:r/>
            <w:r>
              <w:rPr>
                <w:sz w:val="17"/>
              </w:rPr>
              <w:t>6,75</w:t>
            </w:r>
          </w:p>
        </w:tc>
        <w:tc>
          <w:tcPr>
            <w:tcW w:type="dxa" w:w="1814"/>
            <w:shd w:val="clear" w:color="auto" w:fill="F2F2F2"/>
          </w:tcPr>
          <w:p>
            <w:pPr>
              <w:spacing w:after="20" w:line="240" w:lineRule="auto"/>
              <w:jc w:val="center"/>
            </w:pPr>
            <w:r/>
            <w:r>
              <w:rPr>
                <w:sz w:val="17"/>
              </w:rPr>
              <w:t>248</w:t>
            </w:r>
          </w:p>
        </w:tc>
        <w:tc>
          <w:tcPr>
            <w:tcW w:type="dxa" w:w="1814"/>
            <w:shd w:val="clear" w:color="auto" w:fill="F2F2F2"/>
          </w:tcPr>
          <w:p>
            <w:pPr>
              <w:spacing w:after="20" w:line="240" w:lineRule="auto"/>
              <w:jc w:val="center"/>
            </w:pPr>
            <w:r/>
            <w:r>
              <w:rPr>
                <w:sz w:val="17"/>
              </w:rPr>
              <w:t>27,02</w:t>
            </w:r>
          </w:p>
        </w:tc>
        <w:tc>
          <w:tcPr>
            <w:tcW w:type="dxa" w:w="1814"/>
            <w:shd w:val="clear" w:color="auto" w:fill="F2F2F2"/>
          </w:tcPr>
          <w:p>
            <w:pPr>
              <w:spacing w:after="20" w:line="240" w:lineRule="auto"/>
              <w:jc w:val="center"/>
            </w:pPr>
            <w:r/>
            <w:r>
              <w:rPr>
                <w:sz w:val="17"/>
              </w:rPr>
              <w:t>20,10</w:t>
            </w:r>
          </w:p>
        </w:tc>
      </w:tr>
      <w:tr>
        <w:tc>
          <w:tcPr>
            <w:tcW w:type="dxa" w:w="1814"/>
          </w:tcPr>
          <w:p>
            <w:pPr>
              <w:spacing w:after="20" w:line="240" w:lineRule="auto"/>
              <w:jc w:val="left"/>
            </w:pPr>
            <w:r/>
            <w:r>
              <w:rPr>
                <w:sz w:val="17"/>
              </w:rPr>
              <w:t>d14</w:t>
            </w:r>
          </w:p>
        </w:tc>
        <w:tc>
          <w:tcPr>
            <w:tcW w:type="dxa" w:w="1814"/>
          </w:tcPr>
          <w:p>
            <w:pPr>
              <w:spacing w:after="20" w:line="240" w:lineRule="auto"/>
              <w:jc w:val="center"/>
            </w:pPr>
            <w:r/>
            <w:r>
              <w:rPr>
                <w:sz w:val="17"/>
              </w:rPr>
              <w:t>5,06</w:t>
            </w:r>
          </w:p>
        </w:tc>
        <w:tc>
          <w:tcPr>
            <w:tcW w:type="dxa" w:w="1814"/>
          </w:tcPr>
          <w:p>
            <w:pPr>
              <w:spacing w:after="20" w:line="240" w:lineRule="auto"/>
              <w:jc w:val="center"/>
            </w:pPr>
            <w:r/>
            <w:r>
              <w:rPr>
                <w:sz w:val="17"/>
              </w:rPr>
              <w:t>186</w:t>
            </w:r>
          </w:p>
        </w:tc>
        <w:tc>
          <w:tcPr>
            <w:tcW w:type="dxa" w:w="1814"/>
          </w:tcPr>
          <w:p>
            <w:pPr>
              <w:spacing w:after="20" w:line="240" w:lineRule="auto"/>
              <w:jc w:val="center"/>
            </w:pPr>
            <w:r/>
            <w:r>
              <w:rPr>
                <w:sz w:val="17"/>
              </w:rPr>
              <w:t>16,13</w:t>
            </w:r>
          </w:p>
        </w:tc>
        <w:tc>
          <w:tcPr>
            <w:tcW w:type="dxa" w:w="1814"/>
          </w:tcPr>
          <w:p>
            <w:pPr>
              <w:spacing w:after="20" w:line="240" w:lineRule="auto"/>
              <w:jc w:val="center"/>
            </w:pPr>
            <w:r/>
            <w:r>
              <w:rPr>
                <w:sz w:val="17"/>
              </w:rPr>
              <w:t>20,80</w:t>
            </w:r>
          </w:p>
        </w:tc>
      </w:tr>
      <w:tr>
        <w:tc>
          <w:tcPr>
            <w:tcW w:type="dxa" w:w="1814"/>
            <w:shd w:val="clear" w:color="auto" w:fill="F2F2F2"/>
          </w:tcPr>
          <w:p>
            <w:pPr>
              <w:spacing w:after="20" w:line="240" w:lineRule="auto"/>
              <w:jc w:val="left"/>
            </w:pPr>
            <w:r/>
            <w:r>
              <w:rPr>
                <w:sz w:val="17"/>
              </w:rPr>
              <w:t>d15</w:t>
            </w:r>
          </w:p>
        </w:tc>
        <w:tc>
          <w:tcPr>
            <w:tcW w:type="dxa" w:w="1814"/>
            <w:shd w:val="clear" w:color="auto" w:fill="F2F2F2"/>
          </w:tcPr>
          <w:p>
            <w:pPr>
              <w:spacing w:after="20" w:line="240" w:lineRule="auto"/>
              <w:jc w:val="center"/>
            </w:pPr>
            <w:r/>
            <w:r>
              <w:rPr>
                <w:sz w:val="17"/>
              </w:rPr>
              <w:t>2,80</w:t>
            </w:r>
          </w:p>
        </w:tc>
        <w:tc>
          <w:tcPr>
            <w:tcW w:type="dxa" w:w="1814"/>
            <w:shd w:val="clear" w:color="auto" w:fill="F2F2F2"/>
          </w:tcPr>
          <w:p>
            <w:pPr>
              <w:spacing w:after="20" w:line="240" w:lineRule="auto"/>
              <w:jc w:val="center"/>
            </w:pPr>
            <w:r/>
            <w:r>
              <w:rPr>
                <w:sz w:val="17"/>
              </w:rPr>
              <w:t>103</w:t>
            </w:r>
          </w:p>
        </w:tc>
        <w:tc>
          <w:tcPr>
            <w:tcW w:type="dxa" w:w="1814"/>
            <w:shd w:val="clear" w:color="auto" w:fill="F2F2F2"/>
          </w:tcPr>
          <w:p>
            <w:pPr>
              <w:spacing w:after="20" w:line="240" w:lineRule="auto"/>
              <w:jc w:val="center"/>
            </w:pPr>
            <w:r/>
            <w:r>
              <w:rPr>
                <w:sz w:val="17"/>
              </w:rPr>
              <w:t>0,97</w:t>
            </w:r>
          </w:p>
        </w:tc>
        <w:tc>
          <w:tcPr>
            <w:tcW w:type="dxa" w:w="1814"/>
            <w:shd w:val="clear" w:color="auto" w:fill="F2F2F2"/>
          </w:tcPr>
          <w:p>
            <w:pPr>
              <w:spacing w:after="20" w:line="240" w:lineRule="auto"/>
              <w:jc w:val="center"/>
            </w:pPr>
            <w:r/>
            <w:r>
              <w:rPr>
                <w:sz w:val="17"/>
              </w:rPr>
              <w:t>21,13</w:t>
            </w:r>
          </w:p>
        </w:tc>
      </w:tr>
      <w:tr>
        <w:tc>
          <w:tcPr>
            <w:tcW w:type="dxa" w:w="1814"/>
          </w:tcPr>
          <w:p>
            <w:pPr>
              <w:spacing w:after="20" w:line="240" w:lineRule="auto"/>
              <w:jc w:val="left"/>
            </w:pPr>
            <w:r/>
            <w:r>
              <w:rPr>
                <w:sz w:val="17"/>
              </w:rPr>
              <w:t>d16</w:t>
            </w:r>
          </w:p>
        </w:tc>
        <w:tc>
          <w:tcPr>
            <w:tcW w:type="dxa" w:w="1814"/>
          </w:tcPr>
          <w:p>
            <w:pPr>
              <w:spacing w:after="20" w:line="240" w:lineRule="auto"/>
              <w:jc w:val="center"/>
            </w:pPr>
            <w:r/>
            <w:r>
              <w:rPr>
                <w:sz w:val="17"/>
              </w:rPr>
              <w:t>2,83</w:t>
            </w:r>
          </w:p>
        </w:tc>
        <w:tc>
          <w:tcPr>
            <w:tcW w:type="dxa" w:w="1814"/>
          </w:tcPr>
          <w:p>
            <w:pPr>
              <w:spacing w:after="20" w:line="240" w:lineRule="auto"/>
              <w:jc w:val="center"/>
            </w:pPr>
            <w:r/>
            <w:r>
              <w:rPr>
                <w:sz w:val="17"/>
              </w:rPr>
              <w:t>104</w:t>
            </w:r>
          </w:p>
        </w:tc>
        <w:tc>
          <w:tcPr>
            <w:tcW w:type="dxa" w:w="1814"/>
          </w:tcPr>
          <w:p>
            <w:pPr>
              <w:spacing w:after="20" w:line="240" w:lineRule="auto"/>
              <w:jc w:val="center"/>
            </w:pPr>
            <w:r/>
            <w:r>
              <w:rPr>
                <w:sz w:val="17"/>
              </w:rPr>
              <w:t>19,23</w:t>
            </w:r>
          </w:p>
        </w:tc>
        <w:tc>
          <w:tcPr>
            <w:tcW w:type="dxa" w:w="1814"/>
          </w:tcPr>
          <w:p>
            <w:pPr>
              <w:spacing w:after="20" w:line="240" w:lineRule="auto"/>
              <w:jc w:val="center"/>
            </w:pPr>
            <w:r/>
            <w:r>
              <w:rPr>
                <w:sz w:val="17"/>
              </w:rPr>
              <w:t>20,60</w:t>
            </w:r>
          </w:p>
        </w:tc>
      </w:tr>
      <w:tr>
        <w:tc>
          <w:tcPr>
            <w:tcW w:type="dxa" w:w="1814"/>
            <w:shd w:val="clear" w:color="auto" w:fill="F2F2F2"/>
          </w:tcPr>
          <w:p>
            <w:pPr>
              <w:spacing w:after="20" w:line="240" w:lineRule="auto"/>
              <w:jc w:val="left"/>
            </w:pPr>
            <w:r/>
            <w:r>
              <w:rPr>
                <w:sz w:val="17"/>
              </w:rPr>
              <w:t>d17</w:t>
            </w:r>
          </w:p>
        </w:tc>
        <w:tc>
          <w:tcPr>
            <w:tcW w:type="dxa" w:w="1814"/>
            <w:shd w:val="clear" w:color="auto" w:fill="F2F2F2"/>
          </w:tcPr>
          <w:p>
            <w:pPr>
              <w:spacing w:after="20" w:line="240" w:lineRule="auto"/>
              <w:jc w:val="center"/>
            </w:pPr>
            <w:r/>
            <w:r>
              <w:rPr>
                <w:sz w:val="17"/>
              </w:rPr>
              <w:t>2,80</w:t>
            </w:r>
          </w:p>
        </w:tc>
        <w:tc>
          <w:tcPr>
            <w:tcW w:type="dxa" w:w="1814"/>
            <w:shd w:val="clear" w:color="auto" w:fill="F2F2F2"/>
          </w:tcPr>
          <w:p>
            <w:pPr>
              <w:spacing w:after="20" w:line="240" w:lineRule="auto"/>
              <w:jc w:val="center"/>
            </w:pPr>
            <w:r/>
            <w:r>
              <w:rPr>
                <w:sz w:val="17"/>
              </w:rPr>
              <w:t>103</w:t>
            </w:r>
          </w:p>
        </w:tc>
        <w:tc>
          <w:tcPr>
            <w:tcW w:type="dxa" w:w="1814"/>
            <w:shd w:val="clear" w:color="auto" w:fill="F2F2F2"/>
          </w:tcPr>
          <w:p>
            <w:pPr>
              <w:spacing w:after="20" w:line="240" w:lineRule="auto"/>
              <w:jc w:val="center"/>
            </w:pPr>
            <w:r/>
            <w:r>
              <w:rPr>
                <w:sz w:val="17"/>
              </w:rPr>
              <w:t>31,07</w:t>
            </w:r>
          </w:p>
        </w:tc>
        <w:tc>
          <w:tcPr>
            <w:tcW w:type="dxa" w:w="1814"/>
            <w:shd w:val="clear" w:color="auto" w:fill="F2F2F2"/>
          </w:tcPr>
          <w:p>
            <w:pPr>
              <w:spacing w:after="20" w:line="240" w:lineRule="auto"/>
              <w:jc w:val="center"/>
            </w:pPr>
            <w:r/>
            <w:r>
              <w:rPr>
                <w:sz w:val="17"/>
              </w:rPr>
              <w:t>20,26</w:t>
            </w:r>
          </w:p>
        </w:tc>
      </w:tr>
      <w:tr>
        <w:tc>
          <w:tcPr>
            <w:tcW w:type="dxa" w:w="1814"/>
          </w:tcPr>
          <w:p>
            <w:pPr>
              <w:spacing w:after="20" w:line="240" w:lineRule="auto"/>
              <w:jc w:val="left"/>
            </w:pPr>
            <w:r/>
            <w:r>
              <w:rPr>
                <w:sz w:val="17"/>
              </w:rPr>
              <w:t>d18</w:t>
            </w:r>
          </w:p>
        </w:tc>
        <w:tc>
          <w:tcPr>
            <w:tcW w:type="dxa" w:w="1814"/>
          </w:tcPr>
          <w:p>
            <w:pPr>
              <w:spacing w:after="20" w:line="240" w:lineRule="auto"/>
              <w:jc w:val="center"/>
            </w:pPr>
            <w:r/>
            <w:r>
              <w:rPr>
                <w:sz w:val="17"/>
              </w:rPr>
              <w:t>6,56</w:t>
            </w:r>
          </w:p>
        </w:tc>
        <w:tc>
          <w:tcPr>
            <w:tcW w:type="dxa" w:w="1814"/>
          </w:tcPr>
          <w:p>
            <w:pPr>
              <w:spacing w:after="20" w:line="240" w:lineRule="auto"/>
              <w:jc w:val="center"/>
            </w:pPr>
            <w:r/>
            <w:r>
              <w:rPr>
                <w:sz w:val="17"/>
              </w:rPr>
              <w:t>241</w:t>
            </w:r>
          </w:p>
        </w:tc>
        <w:tc>
          <w:tcPr>
            <w:tcW w:type="dxa" w:w="1814"/>
          </w:tcPr>
          <w:p>
            <w:pPr>
              <w:spacing w:after="20" w:line="240" w:lineRule="auto"/>
              <w:jc w:val="center"/>
            </w:pPr>
            <w:r/>
            <w:r>
              <w:rPr>
                <w:sz w:val="17"/>
              </w:rPr>
              <w:t>11,62</w:t>
            </w:r>
          </w:p>
        </w:tc>
        <w:tc>
          <w:tcPr>
            <w:tcW w:type="dxa" w:w="1814"/>
          </w:tcPr>
          <w:p>
            <w:pPr>
              <w:spacing w:after="20" w:line="240" w:lineRule="auto"/>
              <w:jc w:val="center"/>
            </w:pPr>
            <w:r/>
            <w:r>
              <w:rPr>
                <w:sz w:val="17"/>
              </w:rPr>
              <w:t>21,19</w:t>
            </w:r>
          </w:p>
        </w:tc>
      </w:tr>
    </w:tbl>
    <w:p>
      <w:pPr>
        <w:spacing w:after="80"/>
      </w:pPr>
    </w:p>
    <w:p>
      <w:pPr>
        <w:jc w:val="both"/>
      </w:pPr>
      <w:r>
        <w:rPr>
          <w:b w:val="0"/>
          <w:i w:val="0"/>
        </w:rPr>
        <w:t>Algumas categorias têm um efeito muito forte sobre a probabilidade de desconto: com d11 = 1, 50,0% dos produtos estão em desconto (contra 18,7% sem d11); com d5 = 1 apenas 3,1% (contra 22,8%), com d15 = 1 apenas 1,0% (contra 21,1%) e com d9 = 1, 11,0%. Outras, como d3, d7 e d16, estão praticamente alinhadas com a taxa global e, além disso, são raras (prevalência de 2,0%, 1,5% e 2,8%).</w:t>
      </w:r>
    </w:p>
    <w:p>
      <w:pPr>
        <w:keepNext/>
        <w:jc w:val="center"/>
      </w:pPr>
      <w:r>
        <w:drawing>
          <wp:inline xmlns:a="http://schemas.openxmlformats.org/drawingml/2006/main" xmlns:pic="http://schemas.openxmlformats.org/drawingml/2006/picture">
            <wp:extent cx="5580000" cy="2282727"/>
            <wp:docPr id="6" name="Picture 6"/>
            <wp:cNvGraphicFramePr>
              <a:graphicFrameLocks noChangeAspect="1"/>
            </wp:cNvGraphicFramePr>
            <a:graphic>
              <a:graphicData uri="http://schemas.openxmlformats.org/drawingml/2006/picture">
                <pic:pic>
                  <pic:nvPicPr>
                    <pic:cNvPr id="0" name="d_vars.png"/>
                    <pic:cNvPicPr/>
                  </pic:nvPicPr>
                  <pic:blipFill>
                    <a:blip r:embed="rId14"/>
                    <a:stretch>
                      <a:fillRect/>
                    </a:stretch>
                  </pic:blipFill>
                  <pic:spPr>
                    <a:xfrm>
                      <a:off x="0" y="0"/>
                      <a:ext cx="5580000" cy="2282727"/>
                    </a:xfrm>
                    <a:prstGeom prst="rect"/>
                  </pic:spPr>
                </pic:pic>
              </a:graphicData>
            </a:graphic>
          </wp:inline>
        </w:drawing>
      </w:r>
    </w:p>
    <w:p>
      <w:pPr>
        <w:spacing w:after="200"/>
        <w:jc w:val="center"/>
      </w:pPr>
      <w:r>
        <w:rPr>
          <w:i/>
          <w:sz w:val="19"/>
        </w:rPr>
        <w:t>Figura 6 – Prevalência das variáveis discretas (esquerda) e taxa de desconto condicional (direita).</w:t>
      </w:r>
    </w:p>
    <w:p>
      <w:pPr>
        <w:pStyle w:val="Heading3"/>
      </w:pPr>
      <w:r>
        <w:t>2.2.4 Correlações e testes de associação com o alvo</w:t>
      </w:r>
    </w:p>
    <w:p>
      <w:pPr>
        <w:jc w:val="both"/>
      </w:pPr>
      <w:r>
        <w:rPr>
          <w:b w:val="0"/>
          <w:i w:val="0"/>
        </w:rPr>
        <w:t>A Figura 7 mostra a matriz de correlação de todas as variáveis (Pearson; entre variáveis binárias e y equivale ao coeficiente ponto-bisserial/phi). As correlações lineares com y são todas fracas: a mais forte é a de x5 (0,216), seguida de d11 (0,186), d5 (−0,154), x9 (0,125) e x4 (0,113). Entre as variáveis contínuas as maiores correlações são x3–x5 (0,53) e x3–x4 (0,48) (Figura 8). Entre pares que envolvem variáveis discretas, os valores mais altos são d1–x4 (0,71) e d10–d13 (0,62).</w:t>
      </w:r>
    </w:p>
    <w:p>
      <w:pPr>
        <w:keepNext/>
        <w:jc w:val="center"/>
      </w:pPr>
      <w:r>
        <w:drawing>
          <wp:inline xmlns:a="http://schemas.openxmlformats.org/drawingml/2006/main" xmlns:pic="http://schemas.openxmlformats.org/drawingml/2006/picture">
            <wp:extent cx="5040000" cy="4284000"/>
            <wp:docPr id="7" name="Picture 7"/>
            <wp:cNvGraphicFramePr>
              <a:graphicFrameLocks noChangeAspect="1"/>
            </wp:cNvGraphicFramePr>
            <a:graphic>
              <a:graphicData uri="http://schemas.openxmlformats.org/drawingml/2006/picture">
                <pic:pic>
                  <pic:nvPicPr>
                    <pic:cNvPr id="0" name="corr_all.png"/>
                    <pic:cNvPicPr/>
                  </pic:nvPicPr>
                  <pic:blipFill>
                    <a:blip r:embed="rId15"/>
                    <a:stretch>
                      <a:fillRect/>
                    </a:stretch>
                  </pic:blipFill>
                  <pic:spPr>
                    <a:xfrm>
                      <a:off x="0" y="0"/>
                      <a:ext cx="5040000" cy="4284000"/>
                    </a:xfrm>
                    <a:prstGeom prst="rect"/>
                  </pic:spPr>
                </pic:pic>
              </a:graphicData>
            </a:graphic>
          </wp:inline>
        </w:drawing>
      </w:r>
    </w:p>
    <w:p>
      <w:pPr>
        <w:spacing w:after="200"/>
        <w:jc w:val="center"/>
      </w:pPr>
      <w:r>
        <w:rPr>
          <w:i/>
          <w:sz w:val="19"/>
        </w:rPr>
        <w:t>Figura 7 – Matriz de correlação de todas as variáveis, incluindo y.</w:t>
      </w:r>
    </w:p>
    <w:p>
      <w:pPr>
        <w:keepNext/>
        <w:jc w:val="center"/>
      </w:pPr>
      <w:r>
        <w:drawing>
          <wp:inline xmlns:a="http://schemas.openxmlformats.org/drawingml/2006/main" xmlns:pic="http://schemas.openxmlformats.org/drawingml/2006/picture">
            <wp:extent cx="3240000" cy="2650909"/>
            <wp:docPr id="8" name="Picture 8"/>
            <wp:cNvGraphicFramePr>
              <a:graphicFrameLocks noChangeAspect="1"/>
            </wp:cNvGraphicFramePr>
            <a:graphic>
              <a:graphicData uri="http://schemas.openxmlformats.org/drawingml/2006/picture">
                <pic:pic>
                  <pic:nvPicPr>
                    <pic:cNvPr id="0" name="corr_x.png"/>
                    <pic:cNvPicPr/>
                  </pic:nvPicPr>
                  <pic:blipFill>
                    <a:blip r:embed="rId16"/>
                    <a:stretch>
                      <a:fillRect/>
                    </a:stretch>
                  </pic:blipFill>
                  <pic:spPr>
                    <a:xfrm>
                      <a:off x="0" y="0"/>
                      <a:ext cx="3240000" cy="2650909"/>
                    </a:xfrm>
                    <a:prstGeom prst="rect"/>
                  </pic:spPr>
                </pic:pic>
              </a:graphicData>
            </a:graphic>
          </wp:inline>
        </w:drawing>
      </w:r>
    </w:p>
    <w:p>
      <w:pPr>
        <w:spacing w:after="200"/>
        <w:jc w:val="center"/>
      </w:pPr>
      <w:r>
        <w:rPr>
          <w:i/>
          <w:sz w:val="19"/>
        </w:rPr>
        <w:t>Figura 8 – Correlação entre as variáveis contínuas.</w:t>
      </w:r>
    </w:p>
    <w:p>
      <w:pPr>
        <w:keepNext/>
        <w:jc w:val="center"/>
      </w:pPr>
      <w:r>
        <w:drawing>
          <wp:inline xmlns:a="http://schemas.openxmlformats.org/drawingml/2006/main" xmlns:pic="http://schemas.openxmlformats.org/drawingml/2006/picture">
            <wp:extent cx="3240000" cy="3534545"/>
            <wp:docPr id="9" name="Picture 9"/>
            <wp:cNvGraphicFramePr>
              <a:graphicFrameLocks noChangeAspect="1"/>
            </wp:cNvGraphicFramePr>
            <a:graphic>
              <a:graphicData uri="http://schemas.openxmlformats.org/drawingml/2006/picture">
                <pic:pic>
                  <pic:nvPicPr>
                    <pic:cNvPr id="0" name="corr_y.png"/>
                    <pic:cNvPicPr/>
                  </pic:nvPicPr>
                  <pic:blipFill>
                    <a:blip r:embed="rId17"/>
                    <a:stretch>
                      <a:fillRect/>
                    </a:stretch>
                  </pic:blipFill>
                  <pic:spPr>
                    <a:xfrm>
                      <a:off x="0" y="0"/>
                      <a:ext cx="3240000" cy="3534545"/>
                    </a:xfrm>
                    <a:prstGeom prst="rect"/>
                  </pic:spPr>
                </pic:pic>
              </a:graphicData>
            </a:graphic>
          </wp:inline>
        </w:drawing>
      </w:r>
    </w:p>
    <w:p>
      <w:pPr>
        <w:spacing w:after="200"/>
        <w:jc w:val="center"/>
      </w:pPr>
      <w:r>
        <w:rPr>
          <w:i/>
          <w:sz w:val="19"/>
        </w:rPr>
        <w:t>Figura 9 – Correlação de cada variável com o alvo.</w:t>
      </w:r>
    </w:p>
    <w:p>
      <w:pPr>
        <w:jc w:val="both"/>
      </w:pPr>
      <w:r>
        <w:rPr>
          <w:b w:val="0"/>
          <w:i w:val="0"/>
        </w:rPr>
        <w:t>Como as correlações lineares são baixas, mas o conjunto de variáveis pode ainda ter relação não linear com y, aplicaram-se testes de hipóteses: o teste de Mann-Whitney para as variáveis contínuas (não assume normalidade, o que seria inadequado dadas as assimetrias observadas) e o teste do qui-quadrado de independência para as discretas. Com um nível de significância de 5%, 18 das 26 variáveis apresentam associação estatisticamente significativa com y: x3, x4, x5, x6, x7, x9 e d1, d2, d4, d5, d8, d9, d10, d11, d13, d15, d17, d18. Não se rejeita a independência para x1, x2, x8, d3, d7, d12, d14 e d16. Dado o número de testes (26), alguns resultados marginais (p entre 0,01 e 0,05, como x7, d2 ou d13) devem ser lidos com cautela, e esta análise univariada não capta interações – que é, como se verá, onde os modelos de árvores obtêm a maior parte do ganho.</w:t>
      </w:r>
    </w:p>
    <w:p>
      <w:pPr>
        <w:keepNext/>
        <w:spacing w:after="60"/>
        <w:jc w:val="center"/>
      </w:pPr>
      <w:r>
        <w:rPr>
          <w:i/>
          <w:sz w:val="19"/>
        </w:rPr>
        <w:t>Tabela 3 – Testes de associação entre cada variável e y.</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9B1C2E"/>
          </w:tcPr>
          <w:p>
            <w:pPr>
              <w:spacing w:after="20" w:line="240" w:lineRule="auto"/>
              <w:jc w:val="center"/>
            </w:pPr>
            <w:r/>
            <w:r>
              <w:rPr>
                <w:b/>
                <w:color w:val="FFFFFF"/>
                <w:sz w:val="15"/>
              </w:rPr>
              <w:t>variável</w:t>
            </w:r>
          </w:p>
        </w:tc>
        <w:tc>
          <w:tcPr>
            <w:tcW w:type="dxa" w:w="1134"/>
            <w:shd w:val="clear" w:color="auto" w:fill="9B1C2E"/>
          </w:tcPr>
          <w:p>
            <w:pPr>
              <w:spacing w:after="20" w:line="240" w:lineRule="auto"/>
              <w:jc w:val="center"/>
            </w:pPr>
            <w:r/>
            <w:r>
              <w:rPr>
                <w:b/>
                <w:color w:val="FFFFFF"/>
                <w:sz w:val="15"/>
              </w:rPr>
              <w:t>teste</w:t>
            </w:r>
          </w:p>
        </w:tc>
        <w:tc>
          <w:tcPr>
            <w:tcW w:type="dxa" w:w="1134"/>
            <w:shd w:val="clear" w:color="auto" w:fill="9B1C2E"/>
          </w:tcPr>
          <w:p>
            <w:pPr>
              <w:spacing w:after="20" w:line="240" w:lineRule="auto"/>
              <w:jc w:val="center"/>
            </w:pPr>
            <w:r/>
            <w:r>
              <w:rPr>
                <w:b/>
                <w:color w:val="FFFFFF"/>
                <w:sz w:val="15"/>
              </w:rPr>
              <w:t>valor-p</w:t>
            </w:r>
          </w:p>
        </w:tc>
        <w:tc>
          <w:tcPr>
            <w:tcW w:type="dxa" w:w="1134"/>
            <w:shd w:val="clear" w:color="auto" w:fill="9B1C2E"/>
          </w:tcPr>
          <w:p>
            <w:pPr>
              <w:spacing w:after="20" w:line="240" w:lineRule="auto"/>
              <w:jc w:val="center"/>
            </w:pPr>
            <w:r/>
            <w:r>
              <w:rPr>
                <w:b/>
                <w:color w:val="FFFFFF"/>
                <w:sz w:val="15"/>
              </w:rPr>
              <w:t>signif. a 5%</w:t>
            </w:r>
          </w:p>
        </w:tc>
        <w:tc>
          <w:tcPr>
            <w:tcW w:type="dxa" w:w="1134"/>
            <w:shd w:val="clear" w:color="auto" w:fill="9B1C2E"/>
          </w:tcPr>
          <w:p>
            <w:pPr>
              <w:spacing w:after="20" w:line="240" w:lineRule="auto"/>
              <w:jc w:val="center"/>
            </w:pPr>
            <w:r/>
            <w:r>
              <w:rPr>
                <w:b/>
                <w:color w:val="FFFFFF"/>
                <w:sz w:val="15"/>
              </w:rPr>
              <w:t>variável</w:t>
            </w:r>
          </w:p>
        </w:tc>
        <w:tc>
          <w:tcPr>
            <w:tcW w:type="dxa" w:w="1134"/>
            <w:shd w:val="clear" w:color="auto" w:fill="9B1C2E"/>
          </w:tcPr>
          <w:p>
            <w:pPr>
              <w:spacing w:after="20" w:line="240" w:lineRule="auto"/>
              <w:jc w:val="center"/>
            </w:pPr>
            <w:r/>
            <w:r>
              <w:rPr>
                <w:b/>
                <w:color w:val="FFFFFF"/>
                <w:sz w:val="15"/>
              </w:rPr>
              <w:t>teste</w:t>
            </w:r>
          </w:p>
        </w:tc>
        <w:tc>
          <w:tcPr>
            <w:tcW w:type="dxa" w:w="1134"/>
            <w:shd w:val="clear" w:color="auto" w:fill="9B1C2E"/>
          </w:tcPr>
          <w:p>
            <w:pPr>
              <w:spacing w:after="20" w:line="240" w:lineRule="auto"/>
              <w:jc w:val="center"/>
            </w:pPr>
            <w:r/>
            <w:r>
              <w:rPr>
                <w:b/>
                <w:color w:val="FFFFFF"/>
                <w:sz w:val="15"/>
              </w:rPr>
              <w:t>valor-p</w:t>
            </w:r>
          </w:p>
        </w:tc>
        <w:tc>
          <w:tcPr>
            <w:tcW w:type="dxa" w:w="1134"/>
            <w:shd w:val="clear" w:color="auto" w:fill="9B1C2E"/>
          </w:tcPr>
          <w:p>
            <w:pPr>
              <w:spacing w:after="20" w:line="240" w:lineRule="auto"/>
              <w:jc w:val="center"/>
            </w:pPr>
            <w:r/>
            <w:r>
              <w:rPr>
                <w:b/>
                <w:color w:val="FFFFFF"/>
                <w:sz w:val="15"/>
              </w:rPr>
              <w:t>signif. a 5%</w:t>
            </w:r>
          </w:p>
        </w:tc>
      </w:tr>
      <w:tr>
        <w:tc>
          <w:tcPr>
            <w:tcW w:type="dxa" w:w="1134"/>
          </w:tcPr>
          <w:p>
            <w:pPr>
              <w:spacing w:after="20" w:line="240" w:lineRule="auto"/>
              <w:jc w:val="left"/>
            </w:pPr>
            <w:r/>
            <w:r>
              <w:rPr>
                <w:sz w:val="15"/>
              </w:rPr>
              <w:t>x1</w:t>
            </w:r>
          </w:p>
        </w:tc>
        <w:tc>
          <w:tcPr>
            <w:tcW w:type="dxa" w:w="1134"/>
          </w:tcPr>
          <w:p>
            <w:pPr>
              <w:spacing w:after="20" w:line="240" w:lineRule="auto"/>
              <w:jc w:val="center"/>
            </w:pPr>
            <w:r/>
            <w:r>
              <w:rPr>
                <w:sz w:val="15"/>
              </w:rPr>
              <w:t>Mann-Whitney</w:t>
            </w:r>
          </w:p>
        </w:tc>
        <w:tc>
          <w:tcPr>
            <w:tcW w:type="dxa" w:w="1134"/>
          </w:tcPr>
          <w:p>
            <w:pPr>
              <w:spacing w:after="20" w:line="240" w:lineRule="auto"/>
              <w:jc w:val="center"/>
            </w:pPr>
            <w:r/>
            <w:r>
              <w:rPr>
                <w:sz w:val="15"/>
              </w:rPr>
              <w:t>0,0985</w:t>
            </w:r>
          </w:p>
        </w:tc>
        <w:tc>
          <w:tcPr>
            <w:tcW w:type="dxa" w:w="1134"/>
          </w:tcPr>
          <w:p>
            <w:pPr>
              <w:spacing w:after="20" w:line="240" w:lineRule="auto"/>
              <w:jc w:val="center"/>
            </w:pPr>
            <w:r/>
            <w:r>
              <w:rPr>
                <w:sz w:val="15"/>
              </w:rPr>
              <w:t>não</w:t>
            </w:r>
          </w:p>
        </w:tc>
        <w:tc>
          <w:tcPr>
            <w:tcW w:type="dxa" w:w="1134"/>
          </w:tcPr>
          <w:p>
            <w:pPr>
              <w:spacing w:after="20" w:line="240" w:lineRule="auto"/>
              <w:jc w:val="center"/>
            </w:pPr>
            <w:r/>
            <w:r>
              <w:rPr>
                <w:sz w:val="15"/>
              </w:rPr>
              <w:t>d5</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&lt; 0,0001</w:t>
            </w:r>
          </w:p>
        </w:tc>
        <w:tc>
          <w:tcPr>
            <w:tcW w:type="dxa" w:w="1134"/>
          </w:tcPr>
          <w:p>
            <w:pPr>
              <w:spacing w:after="20" w:line="240" w:lineRule="auto"/>
              <w:jc w:val="center"/>
            </w:pPr>
            <w:r/>
            <w:r>
              <w:rPr>
                <w:sz w:val="15"/>
              </w:rPr>
              <w:t>sim</w:t>
            </w:r>
          </w:p>
        </w:tc>
      </w:tr>
      <w:tr>
        <w:tc>
          <w:tcPr>
            <w:tcW w:type="dxa" w:w="1134"/>
            <w:shd w:val="clear" w:color="auto" w:fill="F2F2F2"/>
          </w:tcPr>
          <w:p>
            <w:pPr>
              <w:spacing w:after="20" w:line="240" w:lineRule="auto"/>
              <w:jc w:val="left"/>
            </w:pPr>
            <w:r/>
            <w:r>
              <w:rPr>
                <w:sz w:val="15"/>
              </w:rPr>
              <w:t>x2</w:t>
            </w:r>
          </w:p>
        </w:tc>
        <w:tc>
          <w:tcPr>
            <w:tcW w:type="dxa" w:w="1134"/>
            <w:shd w:val="clear" w:color="auto" w:fill="F2F2F2"/>
          </w:tcPr>
          <w:p>
            <w:pPr>
              <w:spacing w:after="20" w:line="240" w:lineRule="auto"/>
              <w:jc w:val="center"/>
            </w:pPr>
            <w:r/>
            <w:r>
              <w:rPr>
                <w:sz w:val="15"/>
              </w:rPr>
              <w:t>Mann-Whitney</w:t>
            </w:r>
          </w:p>
        </w:tc>
        <w:tc>
          <w:tcPr>
            <w:tcW w:type="dxa" w:w="1134"/>
            <w:shd w:val="clear" w:color="auto" w:fill="F2F2F2"/>
          </w:tcPr>
          <w:p>
            <w:pPr>
              <w:spacing w:after="20" w:line="240" w:lineRule="auto"/>
              <w:jc w:val="center"/>
            </w:pPr>
            <w:r/>
            <w:r>
              <w:rPr>
                <w:sz w:val="15"/>
              </w:rPr>
              <w:t>0,6914</w:t>
            </w:r>
          </w:p>
        </w:tc>
        <w:tc>
          <w:tcPr>
            <w:tcW w:type="dxa" w:w="1134"/>
            <w:shd w:val="clear" w:color="auto" w:fill="F2F2F2"/>
          </w:tcPr>
          <w:p>
            <w:pPr>
              <w:spacing w:after="20" w:line="240" w:lineRule="auto"/>
              <w:jc w:val="center"/>
            </w:pPr>
            <w:r/>
            <w:r>
              <w:rPr>
                <w:sz w:val="15"/>
              </w:rPr>
              <w:t>não</w:t>
            </w:r>
          </w:p>
        </w:tc>
        <w:tc>
          <w:tcPr>
            <w:tcW w:type="dxa" w:w="1134"/>
            <w:shd w:val="clear" w:color="auto" w:fill="F2F2F2"/>
          </w:tcPr>
          <w:p>
            <w:pPr>
              <w:spacing w:after="20" w:line="240" w:lineRule="auto"/>
              <w:jc w:val="center"/>
            </w:pPr>
            <w:r/>
            <w:r>
              <w:rPr>
                <w:sz w:val="15"/>
              </w:rPr>
              <w:t>d7</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0,7433</w:t>
            </w:r>
          </w:p>
        </w:tc>
        <w:tc>
          <w:tcPr>
            <w:tcW w:type="dxa" w:w="1134"/>
            <w:shd w:val="clear" w:color="auto" w:fill="F2F2F2"/>
          </w:tcPr>
          <w:p>
            <w:pPr>
              <w:spacing w:after="20" w:line="240" w:lineRule="auto"/>
              <w:jc w:val="center"/>
            </w:pPr>
            <w:r/>
            <w:r>
              <w:rPr>
                <w:sz w:val="15"/>
              </w:rPr>
              <w:t>não</w:t>
            </w:r>
          </w:p>
        </w:tc>
      </w:tr>
      <w:tr>
        <w:tc>
          <w:tcPr>
            <w:tcW w:type="dxa" w:w="1134"/>
          </w:tcPr>
          <w:p>
            <w:pPr>
              <w:spacing w:after="20" w:line="240" w:lineRule="auto"/>
              <w:jc w:val="left"/>
            </w:pPr>
            <w:r/>
            <w:r>
              <w:rPr>
                <w:sz w:val="15"/>
              </w:rPr>
              <w:t>x3</w:t>
            </w:r>
          </w:p>
        </w:tc>
        <w:tc>
          <w:tcPr>
            <w:tcW w:type="dxa" w:w="1134"/>
          </w:tcPr>
          <w:p>
            <w:pPr>
              <w:spacing w:after="20" w:line="240" w:lineRule="auto"/>
              <w:jc w:val="center"/>
            </w:pPr>
            <w:r/>
            <w:r>
              <w:rPr>
                <w:sz w:val="15"/>
              </w:rPr>
              <w:t>Mann-Whitney</w:t>
            </w:r>
          </w:p>
        </w:tc>
        <w:tc>
          <w:tcPr>
            <w:tcW w:type="dxa" w:w="1134"/>
          </w:tcPr>
          <w:p>
            <w:pPr>
              <w:spacing w:after="20" w:line="240" w:lineRule="auto"/>
              <w:jc w:val="center"/>
            </w:pPr>
            <w:r/>
            <w:r>
              <w:rPr>
                <w:sz w:val="15"/>
              </w:rPr>
              <w:t>&lt; 0,0001</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d8</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0,0088</w:t>
            </w:r>
          </w:p>
        </w:tc>
        <w:tc>
          <w:tcPr>
            <w:tcW w:type="dxa" w:w="1134"/>
          </w:tcPr>
          <w:p>
            <w:pPr>
              <w:spacing w:after="20" w:line="240" w:lineRule="auto"/>
              <w:jc w:val="center"/>
            </w:pPr>
            <w:r/>
            <w:r>
              <w:rPr>
                <w:sz w:val="15"/>
              </w:rPr>
              <w:t>sim</w:t>
            </w:r>
          </w:p>
        </w:tc>
      </w:tr>
      <w:tr>
        <w:tc>
          <w:tcPr>
            <w:tcW w:type="dxa" w:w="1134"/>
            <w:shd w:val="clear" w:color="auto" w:fill="F2F2F2"/>
          </w:tcPr>
          <w:p>
            <w:pPr>
              <w:spacing w:after="20" w:line="240" w:lineRule="auto"/>
              <w:jc w:val="left"/>
            </w:pPr>
            <w:r/>
            <w:r>
              <w:rPr>
                <w:sz w:val="15"/>
              </w:rPr>
              <w:t>x4</w:t>
            </w:r>
          </w:p>
        </w:tc>
        <w:tc>
          <w:tcPr>
            <w:tcW w:type="dxa" w:w="1134"/>
            <w:shd w:val="clear" w:color="auto" w:fill="F2F2F2"/>
          </w:tcPr>
          <w:p>
            <w:pPr>
              <w:spacing w:after="20" w:line="240" w:lineRule="auto"/>
              <w:jc w:val="center"/>
            </w:pPr>
            <w:r/>
            <w:r>
              <w:rPr>
                <w:sz w:val="15"/>
              </w:rPr>
              <w:t>Mann-Whitney</w:t>
            </w:r>
          </w:p>
        </w:tc>
        <w:tc>
          <w:tcPr>
            <w:tcW w:type="dxa" w:w="1134"/>
            <w:shd w:val="clear" w:color="auto" w:fill="F2F2F2"/>
          </w:tcPr>
          <w:p>
            <w:pPr>
              <w:spacing w:after="20" w:line="240" w:lineRule="auto"/>
              <w:jc w:val="center"/>
            </w:pPr>
            <w:r/>
            <w:r>
              <w:rPr>
                <w:sz w:val="15"/>
              </w:rPr>
              <w:t>&lt; 0,0001</w:t>
            </w:r>
          </w:p>
        </w:tc>
        <w:tc>
          <w:tcPr>
            <w:tcW w:type="dxa" w:w="1134"/>
            <w:shd w:val="clear" w:color="auto" w:fill="F2F2F2"/>
          </w:tcPr>
          <w:p>
            <w:pPr>
              <w:spacing w:after="20" w:line="240" w:lineRule="auto"/>
              <w:jc w:val="center"/>
            </w:pPr>
            <w:r/>
            <w:r>
              <w:rPr>
                <w:sz w:val="15"/>
              </w:rPr>
              <w:t>sim</w:t>
            </w:r>
          </w:p>
        </w:tc>
        <w:tc>
          <w:tcPr>
            <w:tcW w:type="dxa" w:w="1134"/>
            <w:shd w:val="clear" w:color="auto" w:fill="F2F2F2"/>
          </w:tcPr>
          <w:p>
            <w:pPr>
              <w:spacing w:after="20" w:line="240" w:lineRule="auto"/>
              <w:jc w:val="center"/>
            </w:pPr>
            <w:r/>
            <w:r>
              <w:rPr>
                <w:sz w:val="15"/>
              </w:rPr>
              <w:t>d9</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&lt; 0,0001</w:t>
            </w:r>
          </w:p>
        </w:tc>
        <w:tc>
          <w:tcPr>
            <w:tcW w:type="dxa" w:w="1134"/>
            <w:shd w:val="clear" w:color="auto" w:fill="F2F2F2"/>
          </w:tcPr>
          <w:p>
            <w:pPr>
              <w:spacing w:after="20" w:line="240" w:lineRule="auto"/>
              <w:jc w:val="center"/>
            </w:pPr>
            <w:r/>
            <w:r>
              <w:rPr>
                <w:sz w:val="15"/>
              </w:rPr>
              <w:t>sim</w:t>
            </w:r>
          </w:p>
        </w:tc>
      </w:tr>
      <w:tr>
        <w:tc>
          <w:tcPr>
            <w:tcW w:type="dxa" w:w="1134"/>
          </w:tcPr>
          <w:p>
            <w:pPr>
              <w:spacing w:after="20" w:line="240" w:lineRule="auto"/>
              <w:jc w:val="left"/>
            </w:pPr>
            <w:r/>
            <w:r>
              <w:rPr>
                <w:sz w:val="15"/>
              </w:rPr>
              <w:t>x5</w:t>
            </w:r>
          </w:p>
        </w:tc>
        <w:tc>
          <w:tcPr>
            <w:tcW w:type="dxa" w:w="1134"/>
          </w:tcPr>
          <w:p>
            <w:pPr>
              <w:spacing w:after="20" w:line="240" w:lineRule="auto"/>
              <w:jc w:val="center"/>
            </w:pPr>
            <w:r/>
            <w:r>
              <w:rPr>
                <w:sz w:val="15"/>
              </w:rPr>
              <w:t>Mann-Whitney</w:t>
            </w:r>
          </w:p>
        </w:tc>
        <w:tc>
          <w:tcPr>
            <w:tcW w:type="dxa" w:w="1134"/>
          </w:tcPr>
          <w:p>
            <w:pPr>
              <w:spacing w:after="20" w:line="240" w:lineRule="auto"/>
              <w:jc w:val="center"/>
            </w:pPr>
            <w:r/>
            <w:r>
              <w:rPr>
                <w:sz w:val="15"/>
              </w:rPr>
              <w:t>&lt; 0,0001</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d10</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0,0070</w:t>
            </w:r>
          </w:p>
        </w:tc>
        <w:tc>
          <w:tcPr>
            <w:tcW w:type="dxa" w:w="1134"/>
          </w:tcPr>
          <w:p>
            <w:pPr>
              <w:spacing w:after="20" w:line="240" w:lineRule="auto"/>
              <w:jc w:val="center"/>
            </w:pPr>
            <w:r/>
            <w:r>
              <w:rPr>
                <w:sz w:val="15"/>
              </w:rPr>
              <w:t>sim</w:t>
            </w:r>
          </w:p>
        </w:tc>
      </w:tr>
      <w:tr>
        <w:tc>
          <w:tcPr>
            <w:tcW w:type="dxa" w:w="1134"/>
            <w:shd w:val="clear" w:color="auto" w:fill="F2F2F2"/>
          </w:tcPr>
          <w:p>
            <w:pPr>
              <w:spacing w:after="20" w:line="240" w:lineRule="auto"/>
              <w:jc w:val="left"/>
            </w:pPr>
            <w:r/>
            <w:r>
              <w:rPr>
                <w:sz w:val="15"/>
              </w:rPr>
              <w:t>x6</w:t>
            </w:r>
          </w:p>
        </w:tc>
        <w:tc>
          <w:tcPr>
            <w:tcW w:type="dxa" w:w="1134"/>
            <w:shd w:val="clear" w:color="auto" w:fill="F2F2F2"/>
          </w:tcPr>
          <w:p>
            <w:pPr>
              <w:spacing w:after="20" w:line="240" w:lineRule="auto"/>
              <w:jc w:val="center"/>
            </w:pPr>
            <w:r/>
            <w:r>
              <w:rPr>
                <w:sz w:val="15"/>
              </w:rPr>
              <w:t>Mann-Whitney</w:t>
            </w:r>
          </w:p>
        </w:tc>
        <w:tc>
          <w:tcPr>
            <w:tcW w:type="dxa" w:w="1134"/>
            <w:shd w:val="clear" w:color="auto" w:fill="F2F2F2"/>
          </w:tcPr>
          <w:p>
            <w:pPr>
              <w:spacing w:after="20" w:line="240" w:lineRule="auto"/>
              <w:jc w:val="center"/>
            </w:pPr>
            <w:r/>
            <w:r>
              <w:rPr>
                <w:sz w:val="15"/>
              </w:rPr>
              <w:t>0,0008</w:t>
            </w:r>
          </w:p>
        </w:tc>
        <w:tc>
          <w:tcPr>
            <w:tcW w:type="dxa" w:w="1134"/>
            <w:shd w:val="clear" w:color="auto" w:fill="F2F2F2"/>
          </w:tcPr>
          <w:p>
            <w:pPr>
              <w:spacing w:after="20" w:line="240" w:lineRule="auto"/>
              <w:jc w:val="center"/>
            </w:pPr>
            <w:r/>
            <w:r>
              <w:rPr>
                <w:sz w:val="15"/>
              </w:rPr>
              <w:t>sim</w:t>
            </w:r>
          </w:p>
        </w:tc>
        <w:tc>
          <w:tcPr>
            <w:tcW w:type="dxa" w:w="1134"/>
            <w:shd w:val="clear" w:color="auto" w:fill="F2F2F2"/>
          </w:tcPr>
          <w:p>
            <w:pPr>
              <w:spacing w:after="20" w:line="240" w:lineRule="auto"/>
              <w:jc w:val="center"/>
            </w:pPr>
            <w:r/>
            <w:r>
              <w:rPr>
                <w:sz w:val="15"/>
              </w:rPr>
              <w:t>d11</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&lt; 0,0001</w:t>
            </w:r>
          </w:p>
        </w:tc>
        <w:tc>
          <w:tcPr>
            <w:tcW w:type="dxa" w:w="1134"/>
            <w:shd w:val="clear" w:color="auto" w:fill="F2F2F2"/>
          </w:tcPr>
          <w:p>
            <w:pPr>
              <w:spacing w:after="20" w:line="240" w:lineRule="auto"/>
              <w:jc w:val="center"/>
            </w:pPr>
            <w:r/>
            <w:r>
              <w:rPr>
                <w:sz w:val="15"/>
              </w:rPr>
              <w:t>sim</w:t>
            </w:r>
          </w:p>
        </w:tc>
      </w:tr>
      <w:tr>
        <w:tc>
          <w:tcPr>
            <w:tcW w:type="dxa" w:w="1134"/>
          </w:tcPr>
          <w:p>
            <w:pPr>
              <w:spacing w:after="20" w:line="240" w:lineRule="auto"/>
              <w:jc w:val="left"/>
            </w:pPr>
            <w:r/>
            <w:r>
              <w:rPr>
                <w:sz w:val="15"/>
              </w:rPr>
              <w:t>x7</w:t>
            </w:r>
          </w:p>
        </w:tc>
        <w:tc>
          <w:tcPr>
            <w:tcW w:type="dxa" w:w="1134"/>
          </w:tcPr>
          <w:p>
            <w:pPr>
              <w:spacing w:after="20" w:line="240" w:lineRule="auto"/>
              <w:jc w:val="center"/>
            </w:pPr>
            <w:r/>
            <w:r>
              <w:rPr>
                <w:sz w:val="15"/>
              </w:rPr>
              <w:t>Mann-Whitney</w:t>
            </w:r>
          </w:p>
        </w:tc>
        <w:tc>
          <w:tcPr>
            <w:tcW w:type="dxa" w:w="1134"/>
          </w:tcPr>
          <w:p>
            <w:pPr>
              <w:spacing w:after="20" w:line="240" w:lineRule="auto"/>
              <w:jc w:val="center"/>
            </w:pPr>
            <w:r/>
            <w:r>
              <w:rPr>
                <w:sz w:val="15"/>
              </w:rPr>
              <w:t>0,0111</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d12</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0,1730</w:t>
            </w:r>
          </w:p>
        </w:tc>
        <w:tc>
          <w:tcPr>
            <w:tcW w:type="dxa" w:w="1134"/>
          </w:tcPr>
          <w:p>
            <w:pPr>
              <w:spacing w:after="20" w:line="240" w:lineRule="auto"/>
              <w:jc w:val="center"/>
            </w:pPr>
            <w:r/>
            <w:r>
              <w:rPr>
                <w:sz w:val="15"/>
              </w:rPr>
              <w:t>não</w:t>
            </w:r>
          </w:p>
        </w:tc>
      </w:tr>
      <w:tr>
        <w:tc>
          <w:tcPr>
            <w:tcW w:type="dxa" w:w="1134"/>
            <w:shd w:val="clear" w:color="auto" w:fill="F2F2F2"/>
          </w:tcPr>
          <w:p>
            <w:pPr>
              <w:spacing w:after="20" w:line="240" w:lineRule="auto"/>
              <w:jc w:val="left"/>
            </w:pPr>
            <w:r/>
            <w:r>
              <w:rPr>
                <w:sz w:val="15"/>
              </w:rPr>
              <w:t>x8</w:t>
            </w:r>
          </w:p>
        </w:tc>
        <w:tc>
          <w:tcPr>
            <w:tcW w:type="dxa" w:w="1134"/>
            <w:shd w:val="clear" w:color="auto" w:fill="F2F2F2"/>
          </w:tcPr>
          <w:p>
            <w:pPr>
              <w:spacing w:after="20" w:line="240" w:lineRule="auto"/>
              <w:jc w:val="center"/>
            </w:pPr>
            <w:r/>
            <w:r>
              <w:rPr>
                <w:sz w:val="15"/>
              </w:rPr>
              <w:t>Mann-Whitney</w:t>
            </w:r>
          </w:p>
        </w:tc>
        <w:tc>
          <w:tcPr>
            <w:tcW w:type="dxa" w:w="1134"/>
            <w:shd w:val="clear" w:color="auto" w:fill="F2F2F2"/>
          </w:tcPr>
          <w:p>
            <w:pPr>
              <w:spacing w:after="20" w:line="240" w:lineRule="auto"/>
              <w:jc w:val="center"/>
            </w:pPr>
            <w:r/>
            <w:r>
              <w:rPr>
                <w:sz w:val="15"/>
              </w:rPr>
              <w:t>0,4974</w:t>
            </w:r>
          </w:p>
        </w:tc>
        <w:tc>
          <w:tcPr>
            <w:tcW w:type="dxa" w:w="1134"/>
            <w:shd w:val="clear" w:color="auto" w:fill="F2F2F2"/>
          </w:tcPr>
          <w:p>
            <w:pPr>
              <w:spacing w:after="20" w:line="240" w:lineRule="auto"/>
              <w:jc w:val="center"/>
            </w:pPr>
            <w:r/>
            <w:r>
              <w:rPr>
                <w:sz w:val="15"/>
              </w:rPr>
              <w:t>não</w:t>
            </w:r>
          </w:p>
        </w:tc>
        <w:tc>
          <w:tcPr>
            <w:tcW w:type="dxa" w:w="1134"/>
            <w:shd w:val="clear" w:color="auto" w:fill="F2F2F2"/>
          </w:tcPr>
          <w:p>
            <w:pPr>
              <w:spacing w:after="20" w:line="240" w:lineRule="auto"/>
              <w:jc w:val="center"/>
            </w:pPr>
            <w:r/>
            <w:r>
              <w:rPr>
                <w:sz w:val="15"/>
              </w:rPr>
              <w:t>d13</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0,0117</w:t>
            </w:r>
          </w:p>
        </w:tc>
        <w:tc>
          <w:tcPr>
            <w:tcW w:type="dxa" w:w="1134"/>
            <w:shd w:val="clear" w:color="auto" w:fill="F2F2F2"/>
          </w:tcPr>
          <w:p>
            <w:pPr>
              <w:spacing w:after="20" w:line="240" w:lineRule="auto"/>
              <w:jc w:val="center"/>
            </w:pPr>
            <w:r/>
            <w:r>
              <w:rPr>
                <w:sz w:val="15"/>
              </w:rPr>
              <w:t>sim</w:t>
            </w:r>
          </w:p>
        </w:tc>
      </w:tr>
      <w:tr>
        <w:tc>
          <w:tcPr>
            <w:tcW w:type="dxa" w:w="1134"/>
          </w:tcPr>
          <w:p>
            <w:pPr>
              <w:spacing w:after="20" w:line="240" w:lineRule="auto"/>
              <w:jc w:val="left"/>
            </w:pPr>
            <w:r/>
            <w:r>
              <w:rPr>
                <w:sz w:val="15"/>
              </w:rPr>
              <w:t>x9</w:t>
            </w:r>
          </w:p>
        </w:tc>
        <w:tc>
          <w:tcPr>
            <w:tcW w:type="dxa" w:w="1134"/>
          </w:tcPr>
          <w:p>
            <w:pPr>
              <w:spacing w:after="20" w:line="240" w:lineRule="auto"/>
              <w:jc w:val="center"/>
            </w:pPr>
            <w:r/>
            <w:r>
              <w:rPr>
                <w:sz w:val="15"/>
              </w:rPr>
              <w:t>Mann-Whitney</w:t>
            </w:r>
          </w:p>
        </w:tc>
        <w:tc>
          <w:tcPr>
            <w:tcW w:type="dxa" w:w="1134"/>
          </w:tcPr>
          <w:p>
            <w:pPr>
              <w:spacing w:after="20" w:line="240" w:lineRule="auto"/>
              <w:jc w:val="center"/>
            </w:pPr>
            <w:r/>
            <w:r>
              <w:rPr>
                <w:sz w:val="15"/>
              </w:rPr>
              <w:t>&lt; 0,0001</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d14</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0,1489</w:t>
            </w:r>
          </w:p>
        </w:tc>
        <w:tc>
          <w:tcPr>
            <w:tcW w:type="dxa" w:w="1134"/>
          </w:tcPr>
          <w:p>
            <w:pPr>
              <w:spacing w:after="20" w:line="240" w:lineRule="auto"/>
              <w:jc w:val="center"/>
            </w:pPr>
            <w:r/>
            <w:r>
              <w:rPr>
                <w:sz w:val="15"/>
              </w:rPr>
              <w:t>não</w:t>
            </w:r>
          </w:p>
        </w:tc>
      </w:tr>
      <w:tr>
        <w:tc>
          <w:tcPr>
            <w:tcW w:type="dxa" w:w="1134"/>
            <w:shd w:val="clear" w:color="auto" w:fill="F2F2F2"/>
          </w:tcPr>
          <w:p>
            <w:pPr>
              <w:spacing w:after="20" w:line="240" w:lineRule="auto"/>
              <w:jc w:val="left"/>
            </w:pPr>
            <w:r/>
            <w:r>
              <w:rPr>
                <w:sz w:val="15"/>
              </w:rPr>
              <w:t>d1</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0,0004</w:t>
            </w:r>
          </w:p>
        </w:tc>
        <w:tc>
          <w:tcPr>
            <w:tcW w:type="dxa" w:w="1134"/>
            <w:shd w:val="clear" w:color="auto" w:fill="F2F2F2"/>
          </w:tcPr>
          <w:p>
            <w:pPr>
              <w:spacing w:after="20" w:line="240" w:lineRule="auto"/>
              <w:jc w:val="center"/>
            </w:pPr>
            <w:r/>
            <w:r>
              <w:rPr>
                <w:sz w:val="15"/>
              </w:rPr>
              <w:t>sim</w:t>
            </w:r>
          </w:p>
        </w:tc>
        <w:tc>
          <w:tcPr>
            <w:tcW w:type="dxa" w:w="1134"/>
            <w:shd w:val="clear" w:color="auto" w:fill="F2F2F2"/>
          </w:tcPr>
          <w:p>
            <w:pPr>
              <w:spacing w:after="20" w:line="240" w:lineRule="auto"/>
              <w:jc w:val="center"/>
            </w:pPr>
            <w:r/>
            <w:r>
              <w:rPr>
                <w:sz w:val="15"/>
              </w:rPr>
              <w:t>d15</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&lt; 0,0001</w:t>
            </w:r>
          </w:p>
        </w:tc>
        <w:tc>
          <w:tcPr>
            <w:tcW w:type="dxa" w:w="1134"/>
            <w:shd w:val="clear" w:color="auto" w:fill="F2F2F2"/>
          </w:tcPr>
          <w:p>
            <w:pPr>
              <w:spacing w:after="20" w:line="240" w:lineRule="auto"/>
              <w:jc w:val="center"/>
            </w:pPr>
            <w:r/>
            <w:r>
              <w:rPr>
                <w:sz w:val="15"/>
              </w:rPr>
              <w:t>sim</w:t>
            </w:r>
          </w:p>
        </w:tc>
      </w:tr>
      <w:tr>
        <w:tc>
          <w:tcPr>
            <w:tcW w:type="dxa" w:w="1134"/>
          </w:tcPr>
          <w:p>
            <w:pPr>
              <w:spacing w:after="20" w:line="240" w:lineRule="auto"/>
              <w:jc w:val="left"/>
            </w:pPr>
            <w:r/>
            <w:r>
              <w:rPr>
                <w:sz w:val="15"/>
              </w:rPr>
              <w:t>d2</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0,0134</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d16</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0,8269</w:t>
            </w:r>
          </w:p>
        </w:tc>
        <w:tc>
          <w:tcPr>
            <w:tcW w:type="dxa" w:w="1134"/>
          </w:tcPr>
          <w:p>
            <w:pPr>
              <w:spacing w:after="20" w:line="240" w:lineRule="auto"/>
              <w:jc w:val="center"/>
            </w:pPr>
            <w:r/>
            <w:r>
              <w:rPr>
                <w:sz w:val="15"/>
              </w:rPr>
              <w:t>não</w:t>
            </w:r>
          </w:p>
        </w:tc>
      </w:tr>
      <w:tr>
        <w:tc>
          <w:tcPr>
            <w:tcW w:type="dxa" w:w="1134"/>
            <w:shd w:val="clear" w:color="auto" w:fill="F2F2F2"/>
          </w:tcPr>
          <w:p>
            <w:pPr>
              <w:spacing w:after="20" w:line="240" w:lineRule="auto"/>
              <w:jc w:val="left"/>
            </w:pPr>
            <w:r/>
            <w:r>
              <w:rPr>
                <w:sz w:val="15"/>
              </w:rPr>
              <w:t>d3</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0,9349</w:t>
            </w:r>
          </w:p>
        </w:tc>
        <w:tc>
          <w:tcPr>
            <w:tcW w:type="dxa" w:w="1134"/>
            <w:shd w:val="clear" w:color="auto" w:fill="F2F2F2"/>
          </w:tcPr>
          <w:p>
            <w:pPr>
              <w:spacing w:after="20" w:line="240" w:lineRule="auto"/>
              <w:jc w:val="center"/>
            </w:pPr>
            <w:r/>
            <w:r>
              <w:rPr>
                <w:sz w:val="15"/>
              </w:rPr>
              <w:t>não</w:t>
            </w:r>
          </w:p>
        </w:tc>
        <w:tc>
          <w:tcPr>
            <w:tcW w:type="dxa" w:w="1134"/>
            <w:shd w:val="clear" w:color="auto" w:fill="F2F2F2"/>
          </w:tcPr>
          <w:p>
            <w:pPr>
              <w:spacing w:after="20" w:line="240" w:lineRule="auto"/>
              <w:jc w:val="center"/>
            </w:pPr>
            <w:r/>
            <w:r>
              <w:rPr>
                <w:sz w:val="15"/>
              </w:rPr>
              <w:t>d17</w:t>
            </w:r>
          </w:p>
        </w:tc>
        <w:tc>
          <w:tcPr>
            <w:tcW w:type="dxa" w:w="1134"/>
            <w:shd w:val="clear" w:color="auto" w:fill="F2F2F2"/>
          </w:tcPr>
          <w:p>
            <w:pPr>
              <w:spacing w:after="20" w:line="240" w:lineRule="auto"/>
              <w:jc w:val="center"/>
            </w:pPr>
            <w:r/>
            <w:r>
              <w:rPr>
                <w:sz w:val="15"/>
              </w:rPr>
              <w:t>Qui-quadrado</w:t>
            </w:r>
          </w:p>
        </w:tc>
        <w:tc>
          <w:tcPr>
            <w:tcW w:type="dxa" w:w="1134"/>
            <w:shd w:val="clear" w:color="auto" w:fill="F2F2F2"/>
          </w:tcPr>
          <w:p>
            <w:pPr>
              <w:spacing w:after="20" w:line="240" w:lineRule="auto"/>
              <w:jc w:val="center"/>
            </w:pPr>
            <w:r/>
            <w:r>
              <w:rPr>
                <w:sz w:val="15"/>
              </w:rPr>
              <w:t>0,0107</w:t>
            </w:r>
          </w:p>
        </w:tc>
        <w:tc>
          <w:tcPr>
            <w:tcW w:type="dxa" w:w="1134"/>
            <w:shd w:val="clear" w:color="auto" w:fill="F2F2F2"/>
          </w:tcPr>
          <w:p>
            <w:pPr>
              <w:spacing w:after="20" w:line="240" w:lineRule="auto"/>
              <w:jc w:val="center"/>
            </w:pPr>
            <w:r/>
            <w:r>
              <w:rPr>
                <w:sz w:val="15"/>
              </w:rPr>
              <w:t>sim</w:t>
            </w:r>
          </w:p>
        </w:tc>
      </w:tr>
      <w:tr>
        <w:tc>
          <w:tcPr>
            <w:tcW w:type="dxa" w:w="1134"/>
          </w:tcPr>
          <w:p>
            <w:pPr>
              <w:spacing w:after="20" w:line="240" w:lineRule="auto"/>
              <w:jc w:val="left"/>
            </w:pPr>
            <w:r/>
            <w:r>
              <w:rPr>
                <w:sz w:val="15"/>
              </w:rPr>
              <w:t>d4</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0,0028</w:t>
            </w:r>
          </w:p>
        </w:tc>
        <w:tc>
          <w:tcPr>
            <w:tcW w:type="dxa" w:w="1134"/>
          </w:tcPr>
          <w:p>
            <w:pPr>
              <w:spacing w:after="20" w:line="240" w:lineRule="auto"/>
              <w:jc w:val="center"/>
            </w:pPr>
            <w:r/>
            <w:r>
              <w:rPr>
                <w:sz w:val="15"/>
              </w:rPr>
              <w:t>sim</w:t>
            </w:r>
          </w:p>
        </w:tc>
        <w:tc>
          <w:tcPr>
            <w:tcW w:type="dxa" w:w="1134"/>
          </w:tcPr>
          <w:p>
            <w:pPr>
              <w:spacing w:after="20" w:line="240" w:lineRule="auto"/>
              <w:jc w:val="center"/>
            </w:pPr>
            <w:r/>
            <w:r>
              <w:rPr>
                <w:sz w:val="15"/>
              </w:rPr>
              <w:t>d18</w:t>
            </w:r>
          </w:p>
        </w:tc>
        <w:tc>
          <w:tcPr>
            <w:tcW w:type="dxa" w:w="1134"/>
          </w:tcPr>
          <w:p>
            <w:pPr>
              <w:spacing w:after="20" w:line="240" w:lineRule="auto"/>
              <w:jc w:val="center"/>
            </w:pPr>
            <w:r/>
            <w:r>
              <w:rPr>
                <w:sz w:val="15"/>
              </w:rPr>
              <w:t>Qui-quadrado</w:t>
            </w:r>
          </w:p>
        </w:tc>
        <w:tc>
          <w:tcPr>
            <w:tcW w:type="dxa" w:w="1134"/>
          </w:tcPr>
          <w:p>
            <w:pPr>
              <w:spacing w:after="20" w:line="240" w:lineRule="auto"/>
              <w:jc w:val="center"/>
            </w:pPr>
            <w:r/>
            <w:r>
              <w:rPr>
                <w:sz w:val="15"/>
              </w:rPr>
              <w:t>0,0005</w:t>
            </w:r>
          </w:p>
        </w:tc>
        <w:tc>
          <w:tcPr>
            <w:tcW w:type="dxa" w:w="1134"/>
          </w:tcPr>
          <w:p>
            <w:pPr>
              <w:spacing w:after="20" w:line="240" w:lineRule="auto"/>
              <w:jc w:val="center"/>
            </w:pPr>
            <w:r/>
            <w:r>
              <w:rPr>
                <w:sz w:val="15"/>
              </w:rPr>
              <w:t>sim</w:t>
            </w:r>
          </w:p>
        </w:tc>
      </w:tr>
    </w:tbl>
    <w:p>
      <w:pPr>
        <w:spacing w:after="80"/>
      </w:pPr>
    </w:p>
    <w:p>
      <w:pPr>
        <w:pStyle w:val="Heading2"/>
      </w:pPr>
      <w:r>
        <w:t>2.3 Preparação dos dados (Data Preparation)</w:t>
      </w:r>
    </w:p>
    <w:p>
      <w:pPr>
        <w:jc w:val="both"/>
      </w:pPr>
      <w:r>
        <w:rPr>
          <w:b w:val="0"/>
          <w:i w:val="0"/>
        </w:rPr>
        <w:t>Todas as decisões de preparação foram tomadas apenas com dados de treino e implementadas dentro de pipelines (imputação → padronização → reamostragem → modelo), de modo que cada passo é ajustado exclusivamente com os dados de treino de cada fold. Isto evita fuga de informação (data leakage) entre treino e validação.</w:t>
      </w:r>
    </w:p>
    <w:p>
      <w:pPr>
        <w:pStyle w:val="Heading3"/>
      </w:pPr>
      <w:r>
        <w:t>2.3.1 Divisão dos dados de treino</w:t>
      </w:r>
    </w:p>
    <w:p>
      <w:pPr>
        <w:jc w:val="both"/>
      </w:pPr>
      <w:r>
        <w:rPr>
          <w:b w:val="0"/>
          <w:i w:val="0"/>
        </w:rPr>
        <w:t xml:space="preserve">Para estimar o desempenho de forma honesta, o ficheiro training.csv foi dividido de forma estratificada por y em </w:t>
      </w:r>
      <w:r>
        <w:rPr>
          <w:b/>
          <w:i w:val="0"/>
        </w:rPr>
        <w:t>treino interno (80%: 2 940 registos)</w:t>
      </w:r>
      <w:r>
        <w:rPr>
          <w:b w:val="0"/>
          <w:i w:val="0"/>
        </w:rPr>
        <w:t xml:space="preserve"> e </w:t>
      </w:r>
      <w:r>
        <w:rPr>
          <w:b/>
          <w:i w:val="0"/>
        </w:rPr>
        <w:t>validação hold-out (20%: 736 registos)</w:t>
      </w:r>
      <w:r>
        <w:rPr>
          <w:b w:val="0"/>
          <w:i w:val="0"/>
        </w:rPr>
        <w:t xml:space="preserve">. A proporção de y = 1 é de 20,58% no treino interno e 20,52% na validação, ou seja, a estratificação preservou a distribuição da classe. O protocolo é o seguinte: (i) a afinação de hiperparâmetros e a seleção do modelo fazem-se exclusivamente por </w:t>
      </w:r>
      <w:r>
        <w:rPr>
          <w:b/>
          <w:i w:val="0"/>
        </w:rPr>
        <w:t>validação cruzada estratificada de 5 folds</w:t>
      </w:r>
      <w:r>
        <w:rPr>
          <w:b w:val="0"/>
          <w:i w:val="0"/>
        </w:rPr>
        <w:t xml:space="preserve"> no treino interno (2 352 registos de treino e 588 de teste por fold, com 20,58% de positivos em todos os folds); (ii) o conjunto de validação só é usado uma vez por modelo, para medir o desempenho em dados nunca vistos; (iii) o modelo selecionado é finalmente reajustado com os 3 676 registos de training.csv para prever task.csv.</w:t>
      </w:r>
    </w:p>
    <w:p>
      <w:pPr>
        <w:pStyle w:val="Heading3"/>
      </w:pPr>
      <w:r>
        <w:t>2.3.2 Valores em falta</w:t>
      </w:r>
    </w:p>
    <w:p>
      <w:pPr>
        <w:jc w:val="both"/>
      </w:pPr>
      <w:r>
        <w:rPr>
          <w:b w:val="0"/>
          <w:i w:val="0"/>
        </w:rPr>
        <w:t xml:space="preserve">x9 tem 49 valores em falta (1,33%) no treino e 30 em task.csv. A análise revelou um facto relevante: </w:t>
      </w:r>
      <w:r>
        <w:rPr>
          <w:b/>
          <w:i w:val="0"/>
        </w:rPr>
        <w:t>todos os 49 registos com x9 em falta têm y = 0</w:t>
      </w:r>
      <w:r>
        <w:rPr>
          <w:b w:val="0"/>
          <w:i w:val="0"/>
        </w:rPr>
        <w:t xml:space="preserve">, enquanto entre os registos com x9 observado a taxa de y = 1 é de 20,8%. Os valores em falta não são, portanto, completamente aleatórios (não são MCAR): a ausência é informativa. Por esse motivo, para além de imputar, acrescenta-se uma variável indicadora de ausência. Compararam-se três imputações – mediana, média e KNN (k = 5) – com uma árvore de decisão e uma Random Forest (Tabela 4). Seguindo o plano de pré-processamento do notebook «AATD – PreProc», comparou-se ainda a estratégia (1) de </w:t>
      </w:r>
      <w:r>
        <w:rPr>
          <w:b/>
          <w:i w:val="0"/>
        </w:rPr>
        <w:t>remover</w:t>
      </w:r>
      <w:r>
        <w:rPr>
          <w:b w:val="0"/>
          <w:i w:val="0"/>
        </w:rPr>
        <w:t xml:space="preserve"> os 49 registos com a estratégia (2) de </w:t>
      </w:r>
      <w:r>
        <w:rPr>
          <w:b/>
          <w:i w:val="0"/>
        </w:rPr>
        <w:t>imputar</w:t>
      </w:r>
      <w:r>
        <w:rPr>
          <w:b w:val="0"/>
          <w:i w:val="0"/>
        </w:rPr>
        <w:t xml:space="preserve"> a mediana (validação cruzada de 5 folds; em ambas o fold de teste é completo, porque task.csv também tem registos com x9 em falta): a Random Forest obtém accuracy de 0,9456 removendo as linhas e de 0,9513 imputando, e a árvore de decisão 0,8441 e 0,8488, respetivamente. A remoção perde informação e, como todos os 49 registos têm y = 0, elimina precisamente os casos que mostram que x9 em falta implica ausência de desconto. As diferenças são desprezáveis (a accuracy da Random Forest varia entre 0,937 e 0,939), pelo que se adotou a imputação pela mediana, mais robusta a assimetrias e mais simples, complementada pelo indicador. O indicador aumentou a accuracy da Random Forest de 0,9367 para 0,9381 e a F-measure de 0,840 para 0,845, um ganho pequeno mas coerente com a evidência anterior.</w:t>
      </w:r>
    </w:p>
    <w:p>
      <w:pPr>
        <w:keepNext/>
        <w:spacing w:after="60"/>
        <w:jc w:val="center"/>
      </w:pPr>
      <w:r>
        <w:rPr>
          <w:i/>
          <w:sz w:val="19"/>
        </w:rPr>
        <w:t>Tabela 4 – Efeito do método de imputação (CV 5 folds no treino interno).</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9B1C2E"/>
          </w:tcPr>
          <w:p>
            <w:pPr>
              <w:spacing w:after="20" w:line="240" w:lineRule="auto"/>
              <w:jc w:val="center"/>
            </w:pPr>
            <w:r/>
            <w:r>
              <w:rPr>
                <w:b/>
                <w:color w:val="FFFFFF"/>
                <w:sz w:val="18"/>
              </w:rPr>
              <w:t>imputação | modelo</w:t>
            </w:r>
          </w:p>
        </w:tc>
        <w:tc>
          <w:tcPr>
            <w:tcW w:type="dxa" w:w="1701"/>
            <w:shd w:val="clear" w:color="auto" w:fill="9B1C2E"/>
          </w:tcPr>
          <w:p>
            <w:pPr>
              <w:spacing w:after="20" w:line="240" w:lineRule="auto"/>
              <w:jc w:val="center"/>
            </w:pPr>
            <w:r/>
            <w:r>
              <w:rPr>
                <w:b/>
                <w:color w:val="FFFFFF"/>
                <w:sz w:val="18"/>
              </w:rPr>
              <w:t>accuracy</w:t>
            </w:r>
          </w:p>
        </w:tc>
        <w:tc>
          <w:tcPr>
            <w:tcW w:type="dxa" w:w="1701"/>
            <w:shd w:val="clear" w:color="auto" w:fill="9B1C2E"/>
          </w:tcPr>
          <w:p>
            <w:pPr>
              <w:spacing w:after="20" w:line="240" w:lineRule="auto"/>
              <w:jc w:val="center"/>
            </w:pPr>
            <w:r/>
            <w:r>
              <w:rPr>
                <w:b/>
                <w:color w:val="FFFFFF"/>
                <w:sz w:val="18"/>
              </w:rPr>
              <w:t>F1</w:t>
            </w:r>
          </w:p>
        </w:tc>
      </w:tr>
      <w:tr>
        <w:tc>
          <w:tcPr>
            <w:tcW w:type="dxa" w:w="3402"/>
          </w:tcPr>
          <w:p>
            <w:pPr>
              <w:spacing w:after="20" w:line="240" w:lineRule="auto"/>
              <w:jc w:val="left"/>
            </w:pPr>
            <w:r/>
            <w:r>
              <w:rPr>
                <w:sz w:val="18"/>
              </w:rPr>
              <w:t>mediana|DT</w:t>
            </w:r>
          </w:p>
        </w:tc>
        <w:tc>
          <w:tcPr>
            <w:tcW w:type="dxa" w:w="1701"/>
          </w:tcPr>
          <w:p>
            <w:pPr>
              <w:spacing w:after="20" w:line="240" w:lineRule="auto"/>
              <w:jc w:val="center"/>
            </w:pPr>
            <w:r/>
            <w:r>
              <w:rPr>
                <w:sz w:val="18"/>
              </w:rPr>
              <w:t>0,8558</w:t>
            </w:r>
          </w:p>
        </w:tc>
        <w:tc>
          <w:tcPr>
            <w:tcW w:type="dxa" w:w="1701"/>
          </w:tcPr>
          <w:p>
            <w:pPr>
              <w:spacing w:after="20" w:line="240" w:lineRule="auto"/>
              <w:jc w:val="center"/>
            </w:pPr>
            <w:r/>
            <w:r>
              <w:rPr>
                <w:sz w:val="18"/>
              </w:rPr>
              <w:t>0,5560</w:t>
            </w:r>
          </w:p>
        </w:tc>
      </w:tr>
      <w:tr>
        <w:tc>
          <w:tcPr>
            <w:tcW w:type="dxa" w:w="3402"/>
            <w:shd w:val="clear" w:color="auto" w:fill="F2F2F2"/>
          </w:tcPr>
          <w:p>
            <w:pPr>
              <w:spacing w:after="20" w:line="240" w:lineRule="auto"/>
              <w:jc w:val="left"/>
            </w:pPr>
            <w:r/>
            <w:r>
              <w:rPr>
                <w:sz w:val="18"/>
              </w:rPr>
              <w:t>mediana|RF</w:t>
            </w:r>
          </w:p>
        </w:tc>
        <w:tc>
          <w:tcPr>
            <w:tcW w:type="dxa" w:w="1701"/>
            <w:shd w:val="clear" w:color="auto" w:fill="F2F2F2"/>
          </w:tcPr>
          <w:p>
            <w:pPr>
              <w:spacing w:after="20" w:line="240" w:lineRule="auto"/>
              <w:jc w:val="center"/>
            </w:pPr>
            <w:r/>
            <w:r>
              <w:rPr>
                <w:sz w:val="18"/>
              </w:rPr>
              <w:t>0,9367</w:t>
            </w:r>
          </w:p>
        </w:tc>
        <w:tc>
          <w:tcPr>
            <w:tcW w:type="dxa" w:w="1701"/>
            <w:shd w:val="clear" w:color="auto" w:fill="F2F2F2"/>
          </w:tcPr>
          <w:p>
            <w:pPr>
              <w:spacing w:after="20" w:line="240" w:lineRule="auto"/>
              <w:jc w:val="center"/>
            </w:pPr>
            <w:r/>
            <w:r>
              <w:rPr>
                <w:sz w:val="18"/>
              </w:rPr>
              <w:t>0,8402</w:t>
            </w:r>
          </w:p>
        </w:tc>
      </w:tr>
      <w:tr>
        <w:tc>
          <w:tcPr>
            <w:tcW w:type="dxa" w:w="3402"/>
          </w:tcPr>
          <w:p>
            <w:pPr>
              <w:spacing w:after="20" w:line="240" w:lineRule="auto"/>
              <w:jc w:val="left"/>
            </w:pPr>
            <w:r/>
            <w:r>
              <w:rPr>
                <w:sz w:val="18"/>
              </w:rPr>
              <w:t>média|DT</w:t>
            </w:r>
          </w:p>
        </w:tc>
        <w:tc>
          <w:tcPr>
            <w:tcW w:type="dxa" w:w="1701"/>
          </w:tcPr>
          <w:p>
            <w:pPr>
              <w:spacing w:after="20" w:line="240" w:lineRule="auto"/>
              <w:jc w:val="center"/>
            </w:pPr>
            <w:r/>
            <w:r>
              <w:rPr>
                <w:sz w:val="18"/>
              </w:rPr>
              <w:t>0,8534</w:t>
            </w:r>
          </w:p>
        </w:tc>
        <w:tc>
          <w:tcPr>
            <w:tcW w:type="dxa" w:w="1701"/>
          </w:tcPr>
          <w:p>
            <w:pPr>
              <w:spacing w:after="20" w:line="240" w:lineRule="auto"/>
              <w:jc w:val="center"/>
            </w:pPr>
            <w:r/>
            <w:r>
              <w:rPr>
                <w:sz w:val="18"/>
              </w:rPr>
              <w:t>0,5539</w:t>
            </w:r>
          </w:p>
        </w:tc>
      </w:tr>
      <w:tr>
        <w:tc>
          <w:tcPr>
            <w:tcW w:type="dxa" w:w="3402"/>
            <w:shd w:val="clear" w:color="auto" w:fill="F2F2F2"/>
          </w:tcPr>
          <w:p>
            <w:pPr>
              <w:spacing w:after="20" w:line="240" w:lineRule="auto"/>
              <w:jc w:val="left"/>
            </w:pPr>
            <w:r/>
            <w:r>
              <w:rPr>
                <w:sz w:val="18"/>
              </w:rPr>
              <w:t>média|RF</w:t>
            </w:r>
          </w:p>
        </w:tc>
        <w:tc>
          <w:tcPr>
            <w:tcW w:type="dxa" w:w="1701"/>
            <w:shd w:val="clear" w:color="auto" w:fill="F2F2F2"/>
          </w:tcPr>
          <w:p>
            <w:pPr>
              <w:spacing w:after="20" w:line="240" w:lineRule="auto"/>
              <w:jc w:val="center"/>
            </w:pPr>
            <w:r/>
            <w:r>
              <w:rPr>
                <w:sz w:val="18"/>
              </w:rPr>
              <w:t>0,9388</w:t>
            </w:r>
          </w:p>
        </w:tc>
        <w:tc>
          <w:tcPr>
            <w:tcW w:type="dxa" w:w="1701"/>
            <w:shd w:val="clear" w:color="auto" w:fill="F2F2F2"/>
          </w:tcPr>
          <w:p>
            <w:pPr>
              <w:spacing w:after="20" w:line="240" w:lineRule="auto"/>
              <w:jc w:val="center"/>
            </w:pPr>
            <w:r/>
            <w:r>
              <w:rPr>
                <w:sz w:val="18"/>
              </w:rPr>
              <w:t>0,8453</w:t>
            </w:r>
          </w:p>
        </w:tc>
      </w:tr>
      <w:tr>
        <w:tc>
          <w:tcPr>
            <w:tcW w:type="dxa" w:w="3402"/>
          </w:tcPr>
          <w:p>
            <w:pPr>
              <w:spacing w:after="20" w:line="240" w:lineRule="auto"/>
              <w:jc w:val="left"/>
            </w:pPr>
            <w:r/>
            <w:r>
              <w:rPr>
                <w:sz w:val="18"/>
              </w:rPr>
              <w:t>KNN (k=5)|DT</w:t>
            </w:r>
          </w:p>
        </w:tc>
        <w:tc>
          <w:tcPr>
            <w:tcW w:type="dxa" w:w="1701"/>
          </w:tcPr>
          <w:p>
            <w:pPr>
              <w:spacing w:after="20" w:line="240" w:lineRule="auto"/>
              <w:jc w:val="center"/>
            </w:pPr>
            <w:r/>
            <w:r>
              <w:rPr>
                <w:sz w:val="18"/>
              </w:rPr>
              <w:t>0,8480</w:t>
            </w:r>
          </w:p>
        </w:tc>
        <w:tc>
          <w:tcPr>
            <w:tcW w:type="dxa" w:w="1701"/>
          </w:tcPr>
          <w:p>
            <w:pPr>
              <w:spacing w:after="20" w:line="240" w:lineRule="auto"/>
              <w:jc w:val="center"/>
            </w:pPr>
            <w:r/>
            <w:r>
              <w:rPr>
                <w:sz w:val="18"/>
              </w:rPr>
              <w:t>0,5584</w:t>
            </w:r>
          </w:p>
        </w:tc>
      </w:tr>
      <w:tr>
        <w:tc>
          <w:tcPr>
            <w:tcW w:type="dxa" w:w="3402"/>
            <w:shd w:val="clear" w:color="auto" w:fill="F2F2F2"/>
          </w:tcPr>
          <w:p>
            <w:pPr>
              <w:spacing w:after="20" w:line="240" w:lineRule="auto"/>
              <w:jc w:val="left"/>
            </w:pPr>
            <w:r/>
            <w:r>
              <w:rPr>
                <w:sz w:val="18"/>
              </w:rPr>
              <w:t>KNN (k=5)|RF</w:t>
            </w:r>
          </w:p>
        </w:tc>
        <w:tc>
          <w:tcPr>
            <w:tcW w:type="dxa" w:w="1701"/>
            <w:shd w:val="clear" w:color="auto" w:fill="F2F2F2"/>
          </w:tcPr>
          <w:p>
            <w:pPr>
              <w:spacing w:after="20" w:line="240" w:lineRule="auto"/>
              <w:jc w:val="center"/>
            </w:pPr>
            <w:r/>
            <w:r>
              <w:rPr>
                <w:sz w:val="18"/>
              </w:rPr>
              <w:t>0,9391</w:t>
            </w:r>
          </w:p>
        </w:tc>
        <w:tc>
          <w:tcPr>
            <w:tcW w:type="dxa" w:w="1701"/>
            <w:shd w:val="clear" w:color="auto" w:fill="F2F2F2"/>
          </w:tcPr>
          <w:p>
            <w:pPr>
              <w:spacing w:after="20" w:line="240" w:lineRule="auto"/>
              <w:jc w:val="center"/>
            </w:pPr>
            <w:r/>
            <w:r>
              <w:rPr>
                <w:sz w:val="18"/>
              </w:rPr>
              <w:t>0,8465</w:t>
            </w:r>
          </w:p>
        </w:tc>
      </w:tr>
    </w:tbl>
    <w:p>
      <w:pPr>
        <w:spacing w:after="80"/>
      </w:pPr>
    </w:p>
    <w:p>
      <w:pPr>
        <w:pStyle w:val="Heading3"/>
      </w:pPr>
      <w:r>
        <w:t>2.3.3 Valores atípicos (outliers)</w:t>
      </w:r>
    </w:p>
    <w:p>
      <w:pPr>
        <w:jc w:val="both"/>
      </w:pPr>
      <w:r>
        <w:rPr>
          <w:b w:val="0"/>
          <w:i w:val="0"/>
        </w:rPr>
        <w:t>Identificaram-se outliers pelo critério de Tukey (valores fora de [Q1 − 1,5·IQR; Q3 + 1,5·IQR]) e, em complemento, por |z| &gt; 3 (Tabela 5). x3 tem 61 outliers (1,7%), incluindo um valor extremo de 5,0 (z ≈ 11); x5 tem 374 (10,2%) devido à cauda longa; x7 tem 103 (2,8%) e x8 55 (1,5%). x1, x2, x6 e x9 não têm outliers. O caso de x4 merece nota: como o IQR é zero (Q1 = Q3 = 1), qualquer valor diferente de 1 é assinalado como outlier (377 registos, 10,3%), embora os valores 2 e 3 sejam categorias legítimas – o critério de Tukey não é aplicável a variáveis quase constantes.</w:t>
      </w:r>
    </w:p>
    <w:p>
      <w:pPr>
        <w:keepNext/>
        <w:spacing w:after="60"/>
        <w:jc w:val="center"/>
      </w:pPr>
      <w:r>
        <w:rPr>
          <w:i/>
          <w:sz w:val="19"/>
        </w:rPr>
        <w:t>Tabela 5 – Valores atípicos por variável contínua.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9B1C2E"/>
          </w:tcPr>
          <w:p>
            <w:pPr>
              <w:spacing w:after="20" w:line="240" w:lineRule="auto"/>
              <w:jc w:val="center"/>
            </w:pPr>
            <w:r/>
            <w:r>
              <w:rPr>
                <w:b/>
                <w:color w:val="FFFFFF"/>
                <w:sz w:val="18"/>
              </w:rPr>
              <w:t>var.</w:t>
            </w:r>
          </w:p>
        </w:tc>
        <w:tc>
          <w:tcPr>
            <w:tcW w:type="dxa" w:w="1512"/>
            <w:shd w:val="clear" w:color="auto" w:fill="9B1C2E"/>
          </w:tcPr>
          <w:p>
            <w:pPr>
              <w:spacing w:after="20" w:line="240" w:lineRule="auto"/>
              <w:jc w:val="center"/>
            </w:pPr>
            <w:r/>
            <w:r>
              <w:rPr>
                <w:b/>
                <w:color w:val="FFFFFF"/>
                <w:sz w:val="18"/>
              </w:rPr>
              <w:t>limite inf.</w:t>
            </w:r>
          </w:p>
        </w:tc>
        <w:tc>
          <w:tcPr>
            <w:tcW w:type="dxa" w:w="1512"/>
            <w:shd w:val="clear" w:color="auto" w:fill="9B1C2E"/>
          </w:tcPr>
          <w:p>
            <w:pPr>
              <w:spacing w:after="20" w:line="240" w:lineRule="auto"/>
              <w:jc w:val="center"/>
            </w:pPr>
            <w:r/>
            <w:r>
              <w:rPr>
                <w:b/>
                <w:color w:val="FFFFFF"/>
                <w:sz w:val="18"/>
              </w:rPr>
              <w:t>limite sup.</w:t>
            </w:r>
          </w:p>
        </w:tc>
        <w:tc>
          <w:tcPr>
            <w:tcW w:type="dxa" w:w="1512"/>
            <w:shd w:val="clear" w:color="auto" w:fill="9B1C2E"/>
          </w:tcPr>
          <w:p>
            <w:pPr>
              <w:spacing w:after="20" w:line="240" w:lineRule="auto"/>
              <w:jc w:val="center"/>
            </w:pPr>
            <w:r/>
            <w:r>
              <w:rPr>
                <w:b/>
                <w:color w:val="FFFFFF"/>
                <w:sz w:val="18"/>
              </w:rPr>
              <w:t>n.º outliers (IQR)</w:t>
            </w:r>
          </w:p>
        </w:tc>
        <w:tc>
          <w:tcPr>
            <w:tcW w:type="dxa" w:w="1512"/>
            <w:shd w:val="clear" w:color="auto" w:fill="9B1C2E"/>
          </w:tcPr>
          <w:p>
            <w:pPr>
              <w:spacing w:after="20" w:line="240" w:lineRule="auto"/>
              <w:jc w:val="center"/>
            </w:pPr>
            <w:r/>
            <w:r>
              <w:rPr>
                <w:b/>
                <w:color w:val="FFFFFF"/>
                <w:sz w:val="18"/>
              </w:rPr>
              <w:t>%</w:t>
            </w:r>
          </w:p>
        </w:tc>
        <w:tc>
          <w:tcPr>
            <w:tcW w:type="dxa" w:w="1512"/>
            <w:shd w:val="clear" w:color="auto" w:fill="9B1C2E"/>
          </w:tcPr>
          <w:p>
            <w:pPr>
              <w:spacing w:after="20" w:line="240" w:lineRule="auto"/>
              <w:jc w:val="center"/>
            </w:pPr>
            <w:r/>
            <w:r>
              <w:rPr>
                <w:b/>
                <w:color w:val="FFFFFF"/>
                <w:sz w:val="18"/>
              </w:rPr>
              <w:t>n.º |z|&gt;3</w:t>
            </w:r>
          </w:p>
        </w:tc>
      </w:tr>
      <w:tr>
        <w:tc>
          <w:tcPr>
            <w:tcW w:type="dxa" w:w="1512"/>
          </w:tcPr>
          <w:p>
            <w:pPr>
              <w:spacing w:after="20" w:line="240" w:lineRule="auto"/>
              <w:jc w:val="left"/>
            </w:pPr>
            <w:r/>
            <w:r>
              <w:rPr>
                <w:sz w:val="18"/>
              </w:rPr>
              <w:t>x1</w:t>
            </w:r>
          </w:p>
        </w:tc>
        <w:tc>
          <w:tcPr>
            <w:tcW w:type="dxa" w:w="1512"/>
          </w:tcPr>
          <w:p>
            <w:pPr>
              <w:spacing w:after="20" w:line="240" w:lineRule="auto"/>
              <w:jc w:val="center"/>
            </w:pPr>
            <w:r/>
            <w:r>
              <w:rPr>
                <w:sz w:val="18"/>
              </w:rPr>
              <w:t>-4,00</w:t>
            </w:r>
          </w:p>
        </w:tc>
        <w:tc>
          <w:tcPr>
            <w:tcW w:type="dxa" w:w="1512"/>
          </w:tcPr>
          <w:p>
            <w:pPr>
              <w:spacing w:after="20" w:line="240" w:lineRule="auto"/>
              <w:jc w:val="center"/>
            </w:pPr>
            <w:r/>
            <w:r>
              <w:rPr>
                <w:sz w:val="18"/>
              </w:rPr>
              <w:t>12,00</w:t>
            </w:r>
          </w:p>
        </w:tc>
        <w:tc>
          <w:tcPr>
            <w:tcW w:type="dxa" w:w="1512"/>
          </w:tcPr>
          <w:p>
            <w:pPr>
              <w:spacing w:after="20" w:line="240" w:lineRule="auto"/>
              <w:jc w:val="center"/>
            </w:pPr>
            <w:r/>
            <w:r>
              <w:rPr>
                <w:sz w:val="18"/>
              </w:rPr>
              <w:t>0</w:t>
            </w:r>
          </w:p>
        </w:tc>
        <w:tc>
          <w:tcPr>
            <w:tcW w:type="dxa" w:w="1512"/>
          </w:tcPr>
          <w:p>
            <w:pPr>
              <w:spacing w:after="20" w:line="240" w:lineRule="auto"/>
              <w:jc w:val="center"/>
            </w:pPr>
            <w:r/>
            <w:r>
              <w:rPr>
                <w:sz w:val="18"/>
              </w:rPr>
              <w:t>0,00</w:t>
            </w:r>
          </w:p>
        </w:tc>
        <w:tc>
          <w:tcPr>
            <w:tcW w:type="dxa" w:w="1512"/>
          </w:tcPr>
          <w:p>
            <w:pPr>
              <w:spacing w:after="20" w:line="240" w:lineRule="auto"/>
              <w:jc w:val="center"/>
            </w:pPr>
            <w:r/>
            <w:r>
              <w:rPr>
                <w:sz w:val="18"/>
              </w:rPr>
              <w:t>0</w:t>
            </w:r>
          </w:p>
        </w:tc>
      </w:tr>
      <w:tr>
        <w:tc>
          <w:tcPr>
            <w:tcW w:type="dxa" w:w="1512"/>
            <w:shd w:val="clear" w:color="auto" w:fill="F2F2F2"/>
          </w:tcPr>
          <w:p>
            <w:pPr>
              <w:spacing w:after="20" w:line="240" w:lineRule="auto"/>
              <w:jc w:val="left"/>
            </w:pPr>
            <w:r/>
            <w:r>
              <w:rPr>
                <w:sz w:val="18"/>
              </w:rPr>
              <w:t>x2</w:t>
            </w:r>
          </w:p>
        </w:tc>
        <w:tc>
          <w:tcPr>
            <w:tcW w:type="dxa" w:w="1512"/>
            <w:shd w:val="clear" w:color="auto" w:fill="F2F2F2"/>
          </w:tcPr>
          <w:p>
            <w:pPr>
              <w:spacing w:after="20" w:line="240" w:lineRule="auto"/>
              <w:jc w:val="center"/>
            </w:pPr>
            <w:r/>
            <w:r>
              <w:rPr>
                <w:sz w:val="18"/>
              </w:rPr>
              <w:t>-2,00</w:t>
            </w:r>
          </w:p>
        </w:tc>
        <w:tc>
          <w:tcPr>
            <w:tcW w:type="dxa" w:w="1512"/>
            <w:shd w:val="clear" w:color="auto" w:fill="F2F2F2"/>
          </w:tcPr>
          <w:p>
            <w:pPr>
              <w:spacing w:after="20" w:line="240" w:lineRule="auto"/>
              <w:jc w:val="center"/>
            </w:pPr>
            <w:r/>
            <w:r>
              <w:rPr>
                <w:sz w:val="18"/>
              </w:rPr>
              <w:t>6,00</w:t>
            </w:r>
          </w:p>
        </w:tc>
        <w:tc>
          <w:tcPr>
            <w:tcW w:type="dxa" w:w="1512"/>
            <w:shd w:val="clear" w:color="auto" w:fill="F2F2F2"/>
          </w:tcPr>
          <w:p>
            <w:pPr>
              <w:spacing w:after="20" w:line="240" w:lineRule="auto"/>
              <w:jc w:val="center"/>
            </w:pPr>
            <w:r/>
            <w:r>
              <w:rPr>
                <w:sz w:val="18"/>
              </w:rPr>
              <w:t>0</w:t>
            </w:r>
          </w:p>
        </w:tc>
        <w:tc>
          <w:tcPr>
            <w:tcW w:type="dxa" w:w="1512"/>
            <w:shd w:val="clear" w:color="auto" w:fill="F2F2F2"/>
          </w:tcPr>
          <w:p>
            <w:pPr>
              <w:spacing w:after="20" w:line="240" w:lineRule="auto"/>
              <w:jc w:val="center"/>
            </w:pPr>
            <w:r/>
            <w:r>
              <w:rPr>
                <w:sz w:val="18"/>
              </w:rPr>
              <w:t>0,00</w:t>
            </w:r>
          </w:p>
        </w:tc>
        <w:tc>
          <w:tcPr>
            <w:tcW w:type="dxa" w:w="1512"/>
            <w:shd w:val="clear" w:color="auto" w:fill="F2F2F2"/>
          </w:tcPr>
          <w:p>
            <w:pPr>
              <w:spacing w:after="20" w:line="240" w:lineRule="auto"/>
              <w:jc w:val="center"/>
            </w:pPr>
            <w:r/>
            <w:r>
              <w:rPr>
                <w:sz w:val="18"/>
              </w:rPr>
              <w:t>0</w:t>
            </w:r>
          </w:p>
        </w:tc>
      </w:tr>
      <w:tr>
        <w:tc>
          <w:tcPr>
            <w:tcW w:type="dxa" w:w="1512"/>
          </w:tcPr>
          <w:p>
            <w:pPr>
              <w:spacing w:after="20" w:line="240" w:lineRule="auto"/>
              <w:jc w:val="left"/>
            </w:pPr>
            <w:r/>
            <w:r>
              <w:rPr>
                <w:sz w:val="18"/>
              </w:rPr>
              <w:t>x3</w:t>
            </w:r>
          </w:p>
        </w:tc>
        <w:tc>
          <w:tcPr>
            <w:tcW w:type="dxa" w:w="1512"/>
          </w:tcPr>
          <w:p>
            <w:pPr>
              <w:spacing w:after="20" w:line="240" w:lineRule="auto"/>
              <w:jc w:val="center"/>
            </w:pPr>
            <w:r/>
            <w:r>
              <w:rPr>
                <w:sz w:val="18"/>
              </w:rPr>
              <w:t>-0,25</w:t>
            </w:r>
          </w:p>
        </w:tc>
        <w:tc>
          <w:tcPr>
            <w:tcW w:type="dxa" w:w="1512"/>
          </w:tcPr>
          <w:p>
            <w:pPr>
              <w:spacing w:after="20" w:line="240" w:lineRule="auto"/>
              <w:jc w:val="center"/>
            </w:pPr>
            <w:r/>
            <w:r>
              <w:rPr>
                <w:sz w:val="18"/>
              </w:rPr>
              <w:t>1,35</w:t>
            </w:r>
          </w:p>
        </w:tc>
        <w:tc>
          <w:tcPr>
            <w:tcW w:type="dxa" w:w="1512"/>
          </w:tcPr>
          <w:p>
            <w:pPr>
              <w:spacing w:after="20" w:line="240" w:lineRule="auto"/>
              <w:jc w:val="center"/>
            </w:pPr>
            <w:r/>
            <w:r>
              <w:rPr>
                <w:sz w:val="18"/>
              </w:rPr>
              <w:t>61</w:t>
            </w:r>
          </w:p>
        </w:tc>
        <w:tc>
          <w:tcPr>
            <w:tcW w:type="dxa" w:w="1512"/>
          </w:tcPr>
          <w:p>
            <w:pPr>
              <w:spacing w:after="20" w:line="240" w:lineRule="auto"/>
              <w:jc w:val="center"/>
            </w:pPr>
            <w:r/>
            <w:r>
              <w:rPr>
                <w:sz w:val="18"/>
              </w:rPr>
              <w:t>1,66</w:t>
            </w:r>
          </w:p>
        </w:tc>
        <w:tc>
          <w:tcPr>
            <w:tcW w:type="dxa" w:w="1512"/>
          </w:tcPr>
          <w:p>
            <w:pPr>
              <w:spacing w:after="20" w:line="240" w:lineRule="auto"/>
              <w:jc w:val="center"/>
            </w:pPr>
            <w:r/>
            <w:r>
              <w:rPr>
                <w:sz w:val="18"/>
              </w:rPr>
              <w:t>50</w:t>
            </w:r>
          </w:p>
        </w:tc>
      </w:tr>
      <w:tr>
        <w:tc>
          <w:tcPr>
            <w:tcW w:type="dxa" w:w="1512"/>
            <w:shd w:val="clear" w:color="auto" w:fill="F2F2F2"/>
          </w:tcPr>
          <w:p>
            <w:pPr>
              <w:spacing w:after="20" w:line="240" w:lineRule="auto"/>
              <w:jc w:val="left"/>
            </w:pPr>
            <w:r/>
            <w:r>
              <w:rPr>
                <w:sz w:val="18"/>
              </w:rPr>
              <w:t>x4</w:t>
            </w:r>
          </w:p>
        </w:tc>
        <w:tc>
          <w:tcPr>
            <w:tcW w:type="dxa" w:w="1512"/>
            <w:shd w:val="clear" w:color="auto" w:fill="F2F2F2"/>
          </w:tcPr>
          <w:p>
            <w:pPr>
              <w:spacing w:after="20" w:line="240" w:lineRule="auto"/>
              <w:jc w:val="center"/>
            </w:pPr>
            <w:r/>
            <w:r>
              <w:rPr>
                <w:sz w:val="18"/>
              </w:rPr>
              <w:t>1,00</w:t>
            </w:r>
          </w:p>
        </w:tc>
        <w:tc>
          <w:tcPr>
            <w:tcW w:type="dxa" w:w="1512"/>
            <w:shd w:val="clear" w:color="auto" w:fill="F2F2F2"/>
          </w:tcPr>
          <w:p>
            <w:pPr>
              <w:spacing w:after="20" w:line="240" w:lineRule="auto"/>
              <w:jc w:val="center"/>
            </w:pPr>
            <w:r/>
            <w:r>
              <w:rPr>
                <w:sz w:val="18"/>
              </w:rPr>
              <w:t>1,00</w:t>
            </w:r>
          </w:p>
        </w:tc>
        <w:tc>
          <w:tcPr>
            <w:tcW w:type="dxa" w:w="1512"/>
            <w:shd w:val="clear" w:color="auto" w:fill="F2F2F2"/>
          </w:tcPr>
          <w:p>
            <w:pPr>
              <w:spacing w:after="20" w:line="240" w:lineRule="auto"/>
              <w:jc w:val="center"/>
            </w:pPr>
            <w:r/>
            <w:r>
              <w:rPr>
                <w:sz w:val="18"/>
              </w:rPr>
              <w:t>377</w:t>
            </w:r>
          </w:p>
        </w:tc>
        <w:tc>
          <w:tcPr>
            <w:tcW w:type="dxa" w:w="1512"/>
            <w:shd w:val="clear" w:color="auto" w:fill="F2F2F2"/>
          </w:tcPr>
          <w:p>
            <w:pPr>
              <w:spacing w:after="20" w:line="240" w:lineRule="auto"/>
              <w:jc w:val="center"/>
            </w:pPr>
            <w:r/>
            <w:r>
              <w:rPr>
                <w:sz w:val="18"/>
              </w:rPr>
              <w:t>10,26</w:t>
            </w:r>
          </w:p>
        </w:tc>
        <w:tc>
          <w:tcPr>
            <w:tcW w:type="dxa" w:w="1512"/>
            <w:shd w:val="clear" w:color="auto" w:fill="F2F2F2"/>
          </w:tcPr>
          <w:p>
            <w:pPr>
              <w:spacing w:after="20" w:line="240" w:lineRule="auto"/>
              <w:jc w:val="center"/>
            </w:pPr>
            <w:r/>
            <w:r>
              <w:rPr>
                <w:sz w:val="18"/>
              </w:rPr>
              <w:t>11</w:t>
            </w:r>
          </w:p>
        </w:tc>
      </w:tr>
      <w:tr>
        <w:tc>
          <w:tcPr>
            <w:tcW w:type="dxa" w:w="1512"/>
          </w:tcPr>
          <w:p>
            <w:pPr>
              <w:spacing w:after="20" w:line="240" w:lineRule="auto"/>
              <w:jc w:val="left"/>
            </w:pPr>
            <w:r/>
            <w:r>
              <w:rPr>
                <w:sz w:val="18"/>
              </w:rPr>
              <w:t>x5</w:t>
            </w:r>
          </w:p>
        </w:tc>
        <w:tc>
          <w:tcPr>
            <w:tcW w:type="dxa" w:w="1512"/>
          </w:tcPr>
          <w:p>
            <w:pPr>
              <w:spacing w:after="20" w:line="240" w:lineRule="auto"/>
              <w:jc w:val="center"/>
            </w:pPr>
            <w:r/>
            <w:r>
              <w:rPr>
                <w:sz w:val="18"/>
              </w:rPr>
              <w:t>-1,50</w:t>
            </w:r>
          </w:p>
        </w:tc>
        <w:tc>
          <w:tcPr>
            <w:tcW w:type="dxa" w:w="1512"/>
          </w:tcPr>
          <w:p>
            <w:pPr>
              <w:spacing w:after="20" w:line="240" w:lineRule="auto"/>
              <w:jc w:val="center"/>
            </w:pPr>
            <w:r/>
            <w:r>
              <w:rPr>
                <w:sz w:val="18"/>
              </w:rPr>
              <w:t>5,42</w:t>
            </w:r>
          </w:p>
        </w:tc>
        <w:tc>
          <w:tcPr>
            <w:tcW w:type="dxa" w:w="1512"/>
          </w:tcPr>
          <w:p>
            <w:pPr>
              <w:spacing w:after="20" w:line="240" w:lineRule="auto"/>
              <w:jc w:val="center"/>
            </w:pPr>
            <w:r/>
            <w:r>
              <w:rPr>
                <w:sz w:val="18"/>
              </w:rPr>
              <w:t>374</w:t>
            </w:r>
          </w:p>
        </w:tc>
        <w:tc>
          <w:tcPr>
            <w:tcW w:type="dxa" w:w="1512"/>
          </w:tcPr>
          <w:p>
            <w:pPr>
              <w:spacing w:after="20" w:line="240" w:lineRule="auto"/>
              <w:jc w:val="center"/>
            </w:pPr>
            <w:r/>
            <w:r>
              <w:rPr>
                <w:sz w:val="18"/>
              </w:rPr>
              <w:t>10,17</w:t>
            </w:r>
          </w:p>
        </w:tc>
        <w:tc>
          <w:tcPr>
            <w:tcW w:type="dxa" w:w="1512"/>
          </w:tcPr>
          <w:p>
            <w:pPr>
              <w:spacing w:after="20" w:line="240" w:lineRule="auto"/>
              <w:jc w:val="center"/>
            </w:pPr>
            <w:r/>
            <w:r>
              <w:rPr>
                <w:sz w:val="18"/>
              </w:rPr>
              <w:t>102</w:t>
            </w:r>
          </w:p>
        </w:tc>
      </w:tr>
      <w:tr>
        <w:tc>
          <w:tcPr>
            <w:tcW w:type="dxa" w:w="1512"/>
            <w:shd w:val="clear" w:color="auto" w:fill="F2F2F2"/>
          </w:tcPr>
          <w:p>
            <w:pPr>
              <w:spacing w:after="20" w:line="240" w:lineRule="auto"/>
              <w:jc w:val="left"/>
            </w:pPr>
            <w:r/>
            <w:r>
              <w:rPr>
                <w:sz w:val="18"/>
              </w:rPr>
              <w:t>x6</w:t>
            </w:r>
          </w:p>
        </w:tc>
        <w:tc>
          <w:tcPr>
            <w:tcW w:type="dxa" w:w="1512"/>
            <w:shd w:val="clear" w:color="auto" w:fill="F2F2F2"/>
          </w:tcPr>
          <w:p>
            <w:pPr>
              <w:spacing w:after="20" w:line="240" w:lineRule="auto"/>
              <w:jc w:val="center"/>
            </w:pPr>
            <w:r/>
            <w:r>
              <w:rPr>
                <w:sz w:val="18"/>
              </w:rPr>
              <w:t>-9,50</w:t>
            </w:r>
          </w:p>
        </w:tc>
        <w:tc>
          <w:tcPr>
            <w:tcW w:type="dxa" w:w="1512"/>
            <w:shd w:val="clear" w:color="auto" w:fill="F2F2F2"/>
          </w:tcPr>
          <w:p>
            <w:pPr>
              <w:spacing w:after="20" w:line="240" w:lineRule="auto"/>
              <w:jc w:val="center"/>
            </w:pPr>
            <w:r/>
            <w:r>
              <w:rPr>
                <w:sz w:val="18"/>
              </w:rPr>
              <w:t>18,50</w:t>
            </w:r>
          </w:p>
        </w:tc>
        <w:tc>
          <w:tcPr>
            <w:tcW w:type="dxa" w:w="1512"/>
            <w:shd w:val="clear" w:color="auto" w:fill="F2F2F2"/>
          </w:tcPr>
          <w:p>
            <w:pPr>
              <w:spacing w:after="20" w:line="240" w:lineRule="auto"/>
              <w:jc w:val="center"/>
            </w:pPr>
            <w:r/>
            <w:r>
              <w:rPr>
                <w:sz w:val="18"/>
              </w:rPr>
              <w:t>0</w:t>
            </w:r>
          </w:p>
        </w:tc>
        <w:tc>
          <w:tcPr>
            <w:tcW w:type="dxa" w:w="1512"/>
            <w:shd w:val="clear" w:color="auto" w:fill="F2F2F2"/>
          </w:tcPr>
          <w:p>
            <w:pPr>
              <w:spacing w:after="20" w:line="240" w:lineRule="auto"/>
              <w:jc w:val="center"/>
            </w:pPr>
            <w:r/>
            <w:r>
              <w:rPr>
                <w:sz w:val="18"/>
              </w:rPr>
              <w:t>0,00</w:t>
            </w:r>
          </w:p>
        </w:tc>
        <w:tc>
          <w:tcPr>
            <w:tcW w:type="dxa" w:w="1512"/>
            <w:shd w:val="clear" w:color="auto" w:fill="F2F2F2"/>
          </w:tcPr>
          <w:p>
            <w:pPr>
              <w:spacing w:after="20" w:line="240" w:lineRule="auto"/>
              <w:jc w:val="center"/>
            </w:pPr>
            <w:r/>
            <w:r>
              <w:rPr>
                <w:sz w:val="18"/>
              </w:rPr>
              <w:t>0</w:t>
            </w:r>
          </w:p>
        </w:tc>
      </w:tr>
      <w:tr>
        <w:tc>
          <w:tcPr>
            <w:tcW w:type="dxa" w:w="1512"/>
          </w:tcPr>
          <w:p>
            <w:pPr>
              <w:spacing w:after="20" w:line="240" w:lineRule="auto"/>
              <w:jc w:val="left"/>
            </w:pPr>
            <w:r/>
            <w:r>
              <w:rPr>
                <w:sz w:val="18"/>
              </w:rPr>
              <w:t>x7</w:t>
            </w:r>
          </w:p>
        </w:tc>
        <w:tc>
          <w:tcPr>
            <w:tcW w:type="dxa" w:w="1512"/>
          </w:tcPr>
          <w:p>
            <w:pPr>
              <w:spacing w:after="20" w:line="240" w:lineRule="auto"/>
              <w:jc w:val="center"/>
            </w:pPr>
            <w:r/>
            <w:r>
              <w:rPr>
                <w:sz w:val="18"/>
              </w:rPr>
              <w:t>-8,00</w:t>
            </w:r>
          </w:p>
        </w:tc>
        <w:tc>
          <w:tcPr>
            <w:tcW w:type="dxa" w:w="1512"/>
          </w:tcPr>
          <w:p>
            <w:pPr>
              <w:spacing w:after="20" w:line="240" w:lineRule="auto"/>
              <w:jc w:val="center"/>
            </w:pPr>
            <w:r/>
            <w:r>
              <w:rPr>
                <w:sz w:val="18"/>
              </w:rPr>
              <w:t>24,00</w:t>
            </w:r>
          </w:p>
        </w:tc>
        <w:tc>
          <w:tcPr>
            <w:tcW w:type="dxa" w:w="1512"/>
          </w:tcPr>
          <w:p>
            <w:pPr>
              <w:spacing w:after="20" w:line="240" w:lineRule="auto"/>
              <w:jc w:val="center"/>
            </w:pPr>
            <w:r/>
            <w:r>
              <w:rPr>
                <w:sz w:val="18"/>
              </w:rPr>
              <w:t>103</w:t>
            </w:r>
          </w:p>
        </w:tc>
        <w:tc>
          <w:tcPr>
            <w:tcW w:type="dxa" w:w="1512"/>
          </w:tcPr>
          <w:p>
            <w:pPr>
              <w:spacing w:after="20" w:line="240" w:lineRule="auto"/>
              <w:jc w:val="center"/>
            </w:pPr>
            <w:r/>
            <w:r>
              <w:rPr>
                <w:sz w:val="18"/>
              </w:rPr>
              <w:t>2,80</w:t>
            </w:r>
          </w:p>
        </w:tc>
        <w:tc>
          <w:tcPr>
            <w:tcW w:type="dxa" w:w="1512"/>
          </w:tcPr>
          <w:p>
            <w:pPr>
              <w:spacing w:after="20" w:line="240" w:lineRule="auto"/>
              <w:jc w:val="center"/>
            </w:pPr>
            <w:r/>
            <w:r>
              <w:rPr>
                <w:sz w:val="18"/>
              </w:rPr>
              <w:t>0</w:t>
            </w:r>
          </w:p>
        </w:tc>
      </w:tr>
      <w:tr>
        <w:tc>
          <w:tcPr>
            <w:tcW w:type="dxa" w:w="1512"/>
            <w:shd w:val="clear" w:color="auto" w:fill="F2F2F2"/>
          </w:tcPr>
          <w:p>
            <w:pPr>
              <w:spacing w:after="20" w:line="240" w:lineRule="auto"/>
              <w:jc w:val="left"/>
            </w:pPr>
            <w:r/>
            <w:r>
              <w:rPr>
                <w:sz w:val="18"/>
              </w:rPr>
              <w:t>x8</w:t>
            </w:r>
          </w:p>
        </w:tc>
        <w:tc>
          <w:tcPr>
            <w:tcW w:type="dxa" w:w="1512"/>
            <w:shd w:val="clear" w:color="auto" w:fill="F2F2F2"/>
          </w:tcPr>
          <w:p>
            <w:pPr>
              <w:spacing w:after="20" w:line="240" w:lineRule="auto"/>
              <w:jc w:val="center"/>
            </w:pPr>
            <w:r/>
            <w:r>
              <w:rPr>
                <w:sz w:val="18"/>
              </w:rPr>
              <w:t>0,00</w:t>
            </w:r>
          </w:p>
        </w:tc>
        <w:tc>
          <w:tcPr>
            <w:tcW w:type="dxa" w:w="1512"/>
            <w:shd w:val="clear" w:color="auto" w:fill="F2F2F2"/>
          </w:tcPr>
          <w:p>
            <w:pPr>
              <w:spacing w:after="20" w:line="240" w:lineRule="auto"/>
              <w:jc w:val="center"/>
            </w:pPr>
            <w:r/>
            <w:r>
              <w:rPr>
                <w:sz w:val="18"/>
              </w:rPr>
              <w:t>8,00</w:t>
            </w:r>
          </w:p>
        </w:tc>
        <w:tc>
          <w:tcPr>
            <w:tcW w:type="dxa" w:w="1512"/>
            <w:shd w:val="clear" w:color="auto" w:fill="F2F2F2"/>
          </w:tcPr>
          <w:p>
            <w:pPr>
              <w:spacing w:after="20" w:line="240" w:lineRule="auto"/>
              <w:jc w:val="center"/>
            </w:pPr>
            <w:r/>
            <w:r>
              <w:rPr>
                <w:sz w:val="18"/>
              </w:rPr>
              <w:t>55</w:t>
            </w:r>
          </w:p>
        </w:tc>
        <w:tc>
          <w:tcPr>
            <w:tcW w:type="dxa" w:w="1512"/>
            <w:shd w:val="clear" w:color="auto" w:fill="F2F2F2"/>
          </w:tcPr>
          <w:p>
            <w:pPr>
              <w:spacing w:after="20" w:line="240" w:lineRule="auto"/>
              <w:jc w:val="center"/>
            </w:pPr>
            <w:r/>
            <w:r>
              <w:rPr>
                <w:sz w:val="18"/>
              </w:rPr>
              <w:t>1,50</w:t>
            </w:r>
          </w:p>
        </w:tc>
        <w:tc>
          <w:tcPr>
            <w:tcW w:type="dxa" w:w="1512"/>
            <w:shd w:val="clear" w:color="auto" w:fill="F2F2F2"/>
          </w:tcPr>
          <w:p>
            <w:pPr>
              <w:spacing w:after="20" w:line="240" w:lineRule="auto"/>
              <w:jc w:val="center"/>
            </w:pPr>
            <w:r/>
            <w:r>
              <w:rPr>
                <w:sz w:val="18"/>
              </w:rPr>
              <w:t>10</w:t>
            </w:r>
          </w:p>
        </w:tc>
      </w:tr>
      <w:tr>
        <w:tc>
          <w:tcPr>
            <w:tcW w:type="dxa" w:w="1512"/>
          </w:tcPr>
          <w:p>
            <w:pPr>
              <w:spacing w:after="20" w:line="240" w:lineRule="auto"/>
              <w:jc w:val="left"/>
            </w:pPr>
            <w:r/>
            <w:r>
              <w:rPr>
                <w:sz w:val="18"/>
              </w:rPr>
              <w:t>x9</w:t>
            </w:r>
          </w:p>
        </w:tc>
        <w:tc>
          <w:tcPr>
            <w:tcW w:type="dxa" w:w="1512"/>
          </w:tcPr>
          <w:p>
            <w:pPr>
              <w:spacing w:after="20" w:line="240" w:lineRule="auto"/>
              <w:jc w:val="center"/>
            </w:pPr>
            <w:r/>
            <w:r>
              <w:rPr>
                <w:sz w:val="18"/>
              </w:rPr>
              <w:t>-26,25</w:t>
            </w:r>
          </w:p>
        </w:tc>
        <w:tc>
          <w:tcPr>
            <w:tcW w:type="dxa" w:w="1512"/>
          </w:tcPr>
          <w:p>
            <w:pPr>
              <w:spacing w:after="20" w:line="240" w:lineRule="auto"/>
              <w:jc w:val="center"/>
            </w:pPr>
            <w:r/>
            <w:r>
              <w:rPr>
                <w:sz w:val="18"/>
              </w:rPr>
              <w:t>79,75</w:t>
            </w:r>
          </w:p>
        </w:tc>
        <w:tc>
          <w:tcPr>
            <w:tcW w:type="dxa" w:w="1512"/>
          </w:tcPr>
          <w:p>
            <w:pPr>
              <w:spacing w:after="20" w:line="240" w:lineRule="auto"/>
              <w:jc w:val="center"/>
            </w:pPr>
            <w:r/>
            <w:r>
              <w:rPr>
                <w:sz w:val="18"/>
              </w:rPr>
              <w:t>0</w:t>
            </w:r>
          </w:p>
        </w:tc>
        <w:tc>
          <w:tcPr>
            <w:tcW w:type="dxa" w:w="1512"/>
          </w:tcPr>
          <w:p>
            <w:pPr>
              <w:spacing w:after="20" w:line="240" w:lineRule="auto"/>
              <w:jc w:val="center"/>
            </w:pPr>
            <w:r/>
            <w:r>
              <w:rPr>
                <w:sz w:val="18"/>
              </w:rPr>
              <w:t>0,00</w:t>
            </w:r>
          </w:p>
        </w:tc>
        <w:tc>
          <w:tcPr>
            <w:tcW w:type="dxa" w:w="1512"/>
          </w:tcPr>
          <w:p>
            <w:pPr>
              <w:spacing w:after="20" w:line="240" w:lineRule="auto"/>
              <w:jc w:val="center"/>
            </w:pPr>
            <w:r/>
            <w:r>
              <w:rPr>
                <w:sz w:val="18"/>
              </w:rPr>
              <w:t>0</w:t>
            </w:r>
          </w:p>
        </w:tc>
      </w:tr>
    </w:tbl>
    <w:p>
      <w:pPr>
        <w:spacing w:after="80"/>
      </w:pPr>
    </w:p>
    <w:p>
      <w:pPr>
        <w:jc w:val="both"/>
      </w:pPr>
      <w:r>
        <w:rPr>
          <w:b w:val="0"/>
          <w:i w:val="0"/>
        </w:rPr>
        <w:t xml:space="preserve">Decidiu-se </w:t>
      </w:r>
      <w:r>
        <w:rPr>
          <w:b/>
          <w:i w:val="0"/>
        </w:rPr>
        <w:t>não remover nem alterar os valores atípicos</w:t>
      </w:r>
      <w:r>
        <w:rPr>
          <w:b w:val="0"/>
          <w:i w:val="0"/>
        </w:rPr>
        <w:t>, por três razões: (i) são valores plausíveis (por exemplo, valores elevados de x5), não erros de recolha; (ii) os algoritmos baseados em árvores, que são os mais fortes neste problema, são invariantes a transformações monótonas e insensíveis a valores extremos; (iii) testou-se a winsorização às barreiras de Tukey (Figura 10) nos dois modelos mais sensíveis a escala e a distribuição, KNN e Naive Bayes, e esta não trouxe melhoria (Tabela 6: a accuracy do KNN passou de 0,8068 para 0,8051 e a do Naive Bayes de 0,5592 para 0,5524). A winsorização foi, assim, descartada. Os modelos sensíveis à escala (KNN, Naive Bayes e MLP) recebem, no entanto, variáveis padronizadas (média 0, desvio-padrão 1).</w:t>
      </w:r>
    </w:p>
    <w:p>
      <w:pPr>
        <w:keepNext/>
        <w:jc w:val="center"/>
      </w:pPr>
      <w:r>
        <w:drawing>
          <wp:inline xmlns:a="http://schemas.openxmlformats.org/drawingml/2006/main" xmlns:pic="http://schemas.openxmlformats.org/drawingml/2006/picture">
            <wp:extent cx="5580000" cy="2130545"/>
            <wp:docPr id="10" name="Picture 10"/>
            <wp:cNvGraphicFramePr>
              <a:graphicFrameLocks noChangeAspect="1"/>
            </wp:cNvGraphicFramePr>
            <a:graphic>
              <a:graphicData uri="http://schemas.openxmlformats.org/drawingml/2006/picture">
                <pic:pic>
                  <pic:nvPicPr>
                    <pic:cNvPr id="0" name="outliers_before_after.png"/>
                    <pic:cNvPicPr/>
                  </pic:nvPicPr>
                  <pic:blipFill>
                    <a:blip r:embed="rId18"/>
                    <a:stretch>
                      <a:fillRect/>
                    </a:stretch>
                  </pic:blipFill>
                  <pic:spPr>
                    <a:xfrm>
                      <a:off x="0" y="0"/>
                      <a:ext cx="5580000" cy="2130545"/>
                    </a:xfrm>
                    <a:prstGeom prst="rect"/>
                  </pic:spPr>
                </pic:pic>
              </a:graphicData>
            </a:graphic>
          </wp:inline>
        </w:drawing>
      </w:r>
    </w:p>
    <w:p>
      <w:pPr>
        <w:spacing w:after="200"/>
        <w:jc w:val="center"/>
      </w:pPr>
      <w:r>
        <w:rPr>
          <w:i/>
          <w:sz w:val="19"/>
        </w:rPr>
        <w:t>Figura 10 – Variáveis contínuas padronizadas antes e depois da winsorização (IQR × 1,5); x4 não é alterada por ter IQR = 0.</w:t>
      </w:r>
    </w:p>
    <w:p>
      <w:pPr>
        <w:keepNext/>
        <w:spacing w:after="60"/>
        <w:jc w:val="center"/>
      </w:pPr>
      <w:r>
        <w:rPr>
          <w:i/>
          <w:sz w:val="19"/>
        </w:rPr>
        <w:t>Tabela 6 – Efeito da winsorização (CV 5 folds no treino interno).</w:t>
      </w:r>
    </w:p>
    <w:tbl>
      <w:tblPr>
        <w:tblStyle w:val="TableGrid"/>
        <w:tblW w:type="auto" w:w="0"/>
        <w:jc w:val="center"/>
        <w:tblLook w:firstColumn="1" w:firstRow="1" w:lastColumn="0" w:lastRow="0" w:noHBand="0" w:noVBand="1" w:val="04A0"/>
      </w:tblPr>
      <w:tblGrid>
        <w:gridCol w:w="3024"/>
        <w:gridCol w:w="3024"/>
        <w:gridCol w:w="3024"/>
      </w:tblGrid>
      <w:tr>
        <w:tc>
          <w:tcPr>
            <w:tcW w:type="dxa" w:w="3685"/>
            <w:shd w:val="clear" w:color="auto" w:fill="9B1C2E"/>
          </w:tcPr>
          <w:p>
            <w:pPr>
              <w:spacing w:after="20" w:line="240" w:lineRule="auto"/>
              <w:jc w:val="center"/>
            </w:pPr>
            <w:r/>
            <w:r>
              <w:rPr>
                <w:b/>
                <w:color w:val="FFFFFF"/>
                <w:sz w:val="18"/>
              </w:rPr>
              <w:t>modelo | tratamento</w:t>
            </w:r>
          </w:p>
        </w:tc>
        <w:tc>
          <w:tcPr>
            <w:tcW w:type="dxa" w:w="1701"/>
            <w:shd w:val="clear" w:color="auto" w:fill="9B1C2E"/>
          </w:tcPr>
          <w:p>
            <w:pPr>
              <w:spacing w:after="20" w:line="240" w:lineRule="auto"/>
              <w:jc w:val="center"/>
            </w:pPr>
            <w:r/>
            <w:r>
              <w:rPr>
                <w:b/>
                <w:color w:val="FFFFFF"/>
                <w:sz w:val="18"/>
              </w:rPr>
              <w:t>accuracy</w:t>
            </w:r>
          </w:p>
        </w:tc>
        <w:tc>
          <w:tcPr>
            <w:tcW w:type="dxa" w:w="1701"/>
            <w:shd w:val="clear" w:color="auto" w:fill="9B1C2E"/>
          </w:tcPr>
          <w:p>
            <w:pPr>
              <w:spacing w:after="20" w:line="240" w:lineRule="auto"/>
              <w:jc w:val="center"/>
            </w:pPr>
            <w:r/>
            <w:r>
              <w:rPr>
                <w:b/>
                <w:color w:val="FFFFFF"/>
                <w:sz w:val="18"/>
              </w:rPr>
              <w:t>F1</w:t>
            </w:r>
          </w:p>
        </w:tc>
      </w:tr>
      <w:tr>
        <w:tc>
          <w:tcPr>
            <w:tcW w:type="dxa" w:w="3685"/>
          </w:tcPr>
          <w:p>
            <w:pPr>
              <w:spacing w:after="20" w:line="240" w:lineRule="auto"/>
              <w:jc w:val="left"/>
            </w:pPr>
            <w:r/>
            <w:r>
              <w:rPr>
                <w:sz w:val="18"/>
              </w:rPr>
              <w:t>KNN|sem winsorização</w:t>
            </w:r>
          </w:p>
        </w:tc>
        <w:tc>
          <w:tcPr>
            <w:tcW w:type="dxa" w:w="1701"/>
          </w:tcPr>
          <w:p>
            <w:pPr>
              <w:spacing w:after="20" w:line="240" w:lineRule="auto"/>
              <w:jc w:val="center"/>
            </w:pPr>
            <w:r/>
            <w:r>
              <w:rPr>
                <w:sz w:val="18"/>
              </w:rPr>
              <w:t>0,8068</w:t>
            </w:r>
          </w:p>
        </w:tc>
        <w:tc>
          <w:tcPr>
            <w:tcW w:type="dxa" w:w="1701"/>
          </w:tcPr>
          <w:p>
            <w:pPr>
              <w:spacing w:after="20" w:line="240" w:lineRule="auto"/>
              <w:jc w:val="center"/>
            </w:pPr>
            <w:r/>
            <w:r>
              <w:rPr>
                <w:sz w:val="18"/>
              </w:rPr>
              <w:t>0,3807</w:t>
            </w:r>
          </w:p>
        </w:tc>
      </w:tr>
      <w:tr>
        <w:tc>
          <w:tcPr>
            <w:tcW w:type="dxa" w:w="3685"/>
            <w:shd w:val="clear" w:color="auto" w:fill="F2F2F2"/>
          </w:tcPr>
          <w:p>
            <w:pPr>
              <w:spacing w:after="20" w:line="240" w:lineRule="auto"/>
              <w:jc w:val="left"/>
            </w:pPr>
            <w:r/>
            <w:r>
              <w:rPr>
                <w:sz w:val="18"/>
              </w:rPr>
              <w:t>KNN|com winsorização</w:t>
            </w:r>
          </w:p>
        </w:tc>
        <w:tc>
          <w:tcPr>
            <w:tcW w:type="dxa" w:w="1701"/>
            <w:shd w:val="clear" w:color="auto" w:fill="F2F2F2"/>
          </w:tcPr>
          <w:p>
            <w:pPr>
              <w:spacing w:after="20" w:line="240" w:lineRule="auto"/>
              <w:jc w:val="center"/>
            </w:pPr>
            <w:r/>
            <w:r>
              <w:rPr>
                <w:sz w:val="18"/>
              </w:rPr>
              <w:t>0,8051</w:t>
            </w:r>
          </w:p>
        </w:tc>
        <w:tc>
          <w:tcPr>
            <w:tcW w:type="dxa" w:w="1701"/>
            <w:shd w:val="clear" w:color="auto" w:fill="F2F2F2"/>
          </w:tcPr>
          <w:p>
            <w:pPr>
              <w:spacing w:after="20" w:line="240" w:lineRule="auto"/>
              <w:jc w:val="center"/>
            </w:pPr>
            <w:r/>
            <w:r>
              <w:rPr>
                <w:sz w:val="18"/>
              </w:rPr>
              <w:t>0,3786</w:t>
            </w:r>
          </w:p>
        </w:tc>
      </w:tr>
      <w:tr>
        <w:tc>
          <w:tcPr>
            <w:tcW w:type="dxa" w:w="3685"/>
          </w:tcPr>
          <w:p>
            <w:pPr>
              <w:spacing w:after="20" w:line="240" w:lineRule="auto"/>
              <w:jc w:val="left"/>
            </w:pPr>
            <w:r/>
            <w:r>
              <w:rPr>
                <w:sz w:val="18"/>
              </w:rPr>
              <w:t>NB|sem winsorização</w:t>
            </w:r>
          </w:p>
        </w:tc>
        <w:tc>
          <w:tcPr>
            <w:tcW w:type="dxa" w:w="1701"/>
          </w:tcPr>
          <w:p>
            <w:pPr>
              <w:spacing w:after="20" w:line="240" w:lineRule="auto"/>
              <w:jc w:val="center"/>
            </w:pPr>
            <w:r/>
            <w:r>
              <w:rPr>
                <w:sz w:val="18"/>
              </w:rPr>
              <w:t>0,5592</w:t>
            </w:r>
          </w:p>
        </w:tc>
        <w:tc>
          <w:tcPr>
            <w:tcW w:type="dxa" w:w="1701"/>
          </w:tcPr>
          <w:p>
            <w:pPr>
              <w:spacing w:after="20" w:line="240" w:lineRule="auto"/>
              <w:jc w:val="center"/>
            </w:pPr>
            <w:r/>
            <w:r>
              <w:rPr>
                <w:sz w:val="18"/>
              </w:rPr>
              <w:t>0,4248</w:t>
            </w:r>
          </w:p>
        </w:tc>
      </w:tr>
      <w:tr>
        <w:tc>
          <w:tcPr>
            <w:tcW w:type="dxa" w:w="3685"/>
            <w:shd w:val="clear" w:color="auto" w:fill="F2F2F2"/>
          </w:tcPr>
          <w:p>
            <w:pPr>
              <w:spacing w:after="20" w:line="240" w:lineRule="auto"/>
              <w:jc w:val="left"/>
            </w:pPr>
            <w:r/>
            <w:r>
              <w:rPr>
                <w:sz w:val="18"/>
              </w:rPr>
              <w:t>NB|com winsorização</w:t>
            </w:r>
          </w:p>
        </w:tc>
        <w:tc>
          <w:tcPr>
            <w:tcW w:type="dxa" w:w="1701"/>
            <w:shd w:val="clear" w:color="auto" w:fill="F2F2F2"/>
          </w:tcPr>
          <w:p>
            <w:pPr>
              <w:spacing w:after="20" w:line="240" w:lineRule="auto"/>
              <w:jc w:val="center"/>
            </w:pPr>
            <w:r/>
            <w:r>
              <w:rPr>
                <w:sz w:val="18"/>
              </w:rPr>
              <w:t>0,5524</w:t>
            </w:r>
          </w:p>
        </w:tc>
        <w:tc>
          <w:tcPr>
            <w:tcW w:type="dxa" w:w="1701"/>
            <w:shd w:val="clear" w:color="auto" w:fill="F2F2F2"/>
          </w:tcPr>
          <w:p>
            <w:pPr>
              <w:spacing w:after="20" w:line="240" w:lineRule="auto"/>
              <w:jc w:val="center"/>
            </w:pPr>
            <w:r/>
            <w:r>
              <w:rPr>
                <w:sz w:val="18"/>
              </w:rPr>
              <w:t>0,4248</w:t>
            </w:r>
          </w:p>
        </w:tc>
      </w:tr>
    </w:tbl>
    <w:p>
      <w:pPr>
        <w:spacing w:after="80"/>
      </w:pPr>
    </w:p>
    <w:p>
      <w:pPr>
        <w:pStyle w:val="Heading3"/>
      </w:pPr>
      <w:r>
        <w:t>2.3.4 Dados desequilibrados</w:t>
      </w:r>
    </w:p>
    <w:p>
      <w:pPr>
        <w:jc w:val="both"/>
      </w:pPr>
      <w:r>
        <w:rPr>
          <w:b w:val="0"/>
          <w:i w:val="0"/>
        </w:rPr>
        <w:t>Com 20,6% de positivos, o desequilíbrio é moderado, mas suficiente para que os classificadores favoreçam a classe maioritária. Compararam-se cinco estratégias, sempre aplicadas dentro de cada fold de treino (nunca no fold de teste): nenhum tratamento; ponderação das classes (class_weight = balanced); sobreamostragem aleatória da classe minoritária; SMOTE (Chawla et al., 2002), que gera exemplos sintéticos por interpolação entre vizinhos da classe minoritária; e subamostragem aleatória da classe maioritária. A comparação foi feita com árvore de decisão (profundidade 6), KNN (k = 15) e Random Forest (200 árvores).</w:t>
      </w:r>
    </w:p>
    <w:p>
      <w:pPr>
        <w:keepNext/>
        <w:spacing w:after="60"/>
        <w:jc w:val="center"/>
      </w:pPr>
      <w:r>
        <w:rPr>
          <w:i/>
          <w:sz w:val="19"/>
        </w:rPr>
        <w:t>Tabela 7 – Estratégias de tratamento do desequilíbrio (CV 5 folds no treino interno; métricas da classe 1).</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9B1C2E"/>
          </w:tcPr>
          <w:p>
            <w:pPr>
              <w:spacing w:after="20" w:line="240" w:lineRule="auto"/>
              <w:jc w:val="center"/>
            </w:pPr>
            <w:r/>
            <w:r>
              <w:rPr>
                <w:b/>
                <w:color w:val="FFFFFF"/>
                <w:sz w:val="17"/>
              </w:rPr>
              <w:t>estratégia</w:t>
            </w:r>
          </w:p>
        </w:tc>
        <w:tc>
          <w:tcPr>
            <w:tcW w:type="dxa" w:w="1512"/>
            <w:shd w:val="clear" w:color="auto" w:fill="9B1C2E"/>
          </w:tcPr>
          <w:p>
            <w:pPr>
              <w:spacing w:after="20" w:line="240" w:lineRule="auto"/>
              <w:jc w:val="center"/>
            </w:pPr>
            <w:r/>
            <w:r>
              <w:rPr>
                <w:b/>
                <w:color w:val="FFFFFF"/>
                <w:sz w:val="17"/>
              </w:rPr>
              <w:t>modelo</w:t>
            </w:r>
          </w:p>
        </w:tc>
        <w:tc>
          <w:tcPr>
            <w:tcW w:type="dxa" w:w="1512"/>
            <w:shd w:val="clear" w:color="auto" w:fill="9B1C2E"/>
          </w:tcPr>
          <w:p>
            <w:pPr>
              <w:spacing w:after="20" w:line="240" w:lineRule="auto"/>
              <w:jc w:val="center"/>
            </w:pPr>
            <w:r/>
            <w:r>
              <w:rPr>
                <w:b/>
                <w:color w:val="FFFFFF"/>
                <w:sz w:val="17"/>
              </w:rPr>
              <w:t>accuracy</w:t>
            </w:r>
          </w:p>
        </w:tc>
        <w:tc>
          <w:tcPr>
            <w:tcW w:type="dxa" w:w="1512"/>
            <w:shd w:val="clear" w:color="auto" w:fill="9B1C2E"/>
          </w:tcPr>
          <w:p>
            <w:pPr>
              <w:spacing w:after="20" w:line="240" w:lineRule="auto"/>
              <w:jc w:val="center"/>
            </w:pPr>
            <w:r/>
            <w:r>
              <w:rPr>
                <w:b/>
                <w:color w:val="FFFFFF"/>
                <w:sz w:val="17"/>
              </w:rPr>
              <w:t>precision</w:t>
            </w:r>
          </w:p>
        </w:tc>
        <w:tc>
          <w:tcPr>
            <w:tcW w:type="dxa" w:w="1512"/>
            <w:shd w:val="clear" w:color="auto" w:fill="9B1C2E"/>
          </w:tcPr>
          <w:p>
            <w:pPr>
              <w:spacing w:after="20" w:line="240" w:lineRule="auto"/>
              <w:jc w:val="center"/>
            </w:pPr>
            <w:r/>
            <w:r>
              <w:rPr>
                <w:b/>
                <w:color w:val="FFFFFF"/>
                <w:sz w:val="17"/>
              </w:rPr>
              <w:t>recall</w:t>
            </w:r>
          </w:p>
        </w:tc>
        <w:tc>
          <w:tcPr>
            <w:tcW w:type="dxa" w:w="1512"/>
            <w:shd w:val="clear" w:color="auto" w:fill="9B1C2E"/>
          </w:tcPr>
          <w:p>
            <w:pPr>
              <w:spacing w:after="20" w:line="240" w:lineRule="auto"/>
              <w:jc w:val="center"/>
            </w:pPr>
            <w:r/>
            <w:r>
              <w:rPr>
                <w:b/>
                <w:color w:val="FFFFFF"/>
                <w:sz w:val="17"/>
              </w:rPr>
              <w:t>F1</w:t>
            </w:r>
          </w:p>
        </w:tc>
      </w:tr>
      <w:tr>
        <w:tc>
          <w:tcPr>
            <w:tcW w:type="dxa" w:w="1512"/>
          </w:tcPr>
          <w:p>
            <w:pPr>
              <w:spacing w:after="20" w:line="240" w:lineRule="auto"/>
              <w:jc w:val="left"/>
            </w:pPr>
            <w:r/>
            <w:r>
              <w:rPr>
                <w:sz w:val="17"/>
              </w:rPr>
              <w:t>Sem tratamento</w:t>
            </w:r>
          </w:p>
        </w:tc>
        <w:tc>
          <w:tcPr>
            <w:tcW w:type="dxa" w:w="1512"/>
          </w:tcPr>
          <w:p>
            <w:pPr>
              <w:spacing w:after="20" w:line="240" w:lineRule="auto"/>
              <w:jc w:val="center"/>
            </w:pPr>
            <w:r/>
            <w:r>
              <w:rPr>
                <w:sz w:val="17"/>
              </w:rPr>
              <w:t>DT</w:t>
            </w:r>
          </w:p>
        </w:tc>
        <w:tc>
          <w:tcPr>
            <w:tcW w:type="dxa" w:w="1512"/>
          </w:tcPr>
          <w:p>
            <w:pPr>
              <w:spacing w:after="20" w:line="240" w:lineRule="auto"/>
              <w:jc w:val="center"/>
            </w:pPr>
            <w:r/>
            <w:r>
              <w:rPr>
                <w:sz w:val="17"/>
              </w:rPr>
              <w:t>0,856</w:t>
            </w:r>
          </w:p>
        </w:tc>
        <w:tc>
          <w:tcPr>
            <w:tcW w:type="dxa" w:w="1512"/>
          </w:tcPr>
          <w:p>
            <w:pPr>
              <w:spacing w:after="20" w:line="240" w:lineRule="auto"/>
              <w:jc w:val="center"/>
            </w:pPr>
            <w:r/>
            <w:r>
              <w:rPr>
                <w:sz w:val="17"/>
              </w:rPr>
              <w:t>0,756</w:t>
            </w:r>
          </w:p>
        </w:tc>
        <w:tc>
          <w:tcPr>
            <w:tcW w:type="dxa" w:w="1512"/>
          </w:tcPr>
          <w:p>
            <w:pPr>
              <w:spacing w:after="20" w:line="240" w:lineRule="auto"/>
              <w:jc w:val="center"/>
            </w:pPr>
            <w:r/>
            <w:r>
              <w:rPr>
                <w:sz w:val="17"/>
              </w:rPr>
              <w:t>0,446</w:t>
            </w:r>
          </w:p>
        </w:tc>
        <w:tc>
          <w:tcPr>
            <w:tcW w:type="dxa" w:w="1512"/>
          </w:tcPr>
          <w:p>
            <w:pPr>
              <w:spacing w:after="20" w:line="240" w:lineRule="auto"/>
              <w:jc w:val="center"/>
            </w:pPr>
            <w:r/>
            <w:r>
              <w:rPr>
                <w:sz w:val="17"/>
              </w:rPr>
              <w:t>0,556</w:t>
            </w:r>
          </w:p>
        </w:tc>
      </w:tr>
      <w:tr>
        <w:tc>
          <w:tcPr>
            <w:tcW w:type="dxa" w:w="1512"/>
            <w:shd w:val="clear" w:color="auto" w:fill="F2F2F2"/>
          </w:tcPr>
          <w:p>
            <w:pPr>
              <w:spacing w:after="20" w:line="240" w:lineRule="auto"/>
              <w:jc w:val="left"/>
            </w:pPr>
            <w:r/>
            <w:r>
              <w:rPr>
                <w:sz w:val="17"/>
              </w:rPr>
              <w:t>Sem tratamento</w:t>
            </w:r>
          </w:p>
        </w:tc>
        <w:tc>
          <w:tcPr>
            <w:tcW w:type="dxa" w:w="1512"/>
            <w:shd w:val="clear" w:color="auto" w:fill="F2F2F2"/>
          </w:tcPr>
          <w:p>
            <w:pPr>
              <w:spacing w:after="20" w:line="240" w:lineRule="auto"/>
              <w:jc w:val="center"/>
            </w:pPr>
            <w:r/>
            <w:r>
              <w:rPr>
                <w:sz w:val="17"/>
              </w:rPr>
              <w:t>KNN</w:t>
            </w:r>
          </w:p>
        </w:tc>
        <w:tc>
          <w:tcPr>
            <w:tcW w:type="dxa" w:w="1512"/>
            <w:shd w:val="clear" w:color="auto" w:fill="F2F2F2"/>
          </w:tcPr>
          <w:p>
            <w:pPr>
              <w:spacing w:after="20" w:line="240" w:lineRule="auto"/>
              <w:jc w:val="center"/>
            </w:pPr>
            <w:r/>
            <w:r>
              <w:rPr>
                <w:sz w:val="17"/>
              </w:rPr>
              <w:t>0,807</w:t>
            </w:r>
          </w:p>
        </w:tc>
        <w:tc>
          <w:tcPr>
            <w:tcW w:type="dxa" w:w="1512"/>
            <w:shd w:val="clear" w:color="auto" w:fill="F2F2F2"/>
          </w:tcPr>
          <w:p>
            <w:pPr>
              <w:spacing w:after="20" w:line="240" w:lineRule="auto"/>
              <w:jc w:val="center"/>
            </w:pPr>
            <w:r/>
            <w:r>
              <w:rPr>
                <w:sz w:val="17"/>
              </w:rPr>
              <w:t>0,558</w:t>
            </w:r>
          </w:p>
        </w:tc>
        <w:tc>
          <w:tcPr>
            <w:tcW w:type="dxa" w:w="1512"/>
            <w:shd w:val="clear" w:color="auto" w:fill="F2F2F2"/>
          </w:tcPr>
          <w:p>
            <w:pPr>
              <w:spacing w:after="20" w:line="240" w:lineRule="auto"/>
              <w:jc w:val="center"/>
            </w:pPr>
            <w:r/>
            <w:r>
              <w:rPr>
                <w:sz w:val="17"/>
              </w:rPr>
              <w:t>0,289</w:t>
            </w:r>
          </w:p>
        </w:tc>
        <w:tc>
          <w:tcPr>
            <w:tcW w:type="dxa" w:w="1512"/>
            <w:shd w:val="clear" w:color="auto" w:fill="F2F2F2"/>
          </w:tcPr>
          <w:p>
            <w:pPr>
              <w:spacing w:after="20" w:line="240" w:lineRule="auto"/>
              <w:jc w:val="center"/>
            </w:pPr>
            <w:r/>
            <w:r>
              <w:rPr>
                <w:sz w:val="17"/>
              </w:rPr>
              <w:t>0,381</w:t>
            </w:r>
          </w:p>
        </w:tc>
      </w:tr>
      <w:tr>
        <w:tc>
          <w:tcPr>
            <w:tcW w:type="dxa" w:w="1512"/>
          </w:tcPr>
          <w:p>
            <w:pPr>
              <w:spacing w:after="20" w:line="240" w:lineRule="auto"/>
              <w:jc w:val="left"/>
            </w:pPr>
            <w:r/>
            <w:r>
              <w:rPr>
                <w:sz w:val="17"/>
              </w:rPr>
              <w:t>Sem tratamento</w:t>
            </w:r>
          </w:p>
        </w:tc>
        <w:tc>
          <w:tcPr>
            <w:tcW w:type="dxa" w:w="1512"/>
          </w:tcPr>
          <w:p>
            <w:pPr>
              <w:spacing w:after="20" w:line="240" w:lineRule="auto"/>
              <w:jc w:val="center"/>
            </w:pPr>
            <w:r/>
            <w:r>
              <w:rPr>
                <w:sz w:val="17"/>
              </w:rPr>
              <w:t>RF</w:t>
            </w:r>
          </w:p>
        </w:tc>
        <w:tc>
          <w:tcPr>
            <w:tcW w:type="dxa" w:w="1512"/>
          </w:tcPr>
          <w:p>
            <w:pPr>
              <w:spacing w:after="20" w:line="240" w:lineRule="auto"/>
              <w:jc w:val="center"/>
            </w:pPr>
            <w:r/>
            <w:r>
              <w:rPr>
                <w:sz w:val="17"/>
              </w:rPr>
              <w:t>0,937</w:t>
            </w:r>
          </w:p>
        </w:tc>
        <w:tc>
          <w:tcPr>
            <w:tcW w:type="dxa" w:w="1512"/>
          </w:tcPr>
          <w:p>
            <w:pPr>
              <w:spacing w:after="20" w:line="240" w:lineRule="auto"/>
              <w:jc w:val="center"/>
            </w:pPr>
            <w:r/>
            <w:r>
              <w:rPr>
                <w:sz w:val="17"/>
              </w:rPr>
              <w:t>0,874</w:t>
            </w:r>
          </w:p>
        </w:tc>
        <w:tc>
          <w:tcPr>
            <w:tcW w:type="dxa" w:w="1512"/>
          </w:tcPr>
          <w:p>
            <w:pPr>
              <w:spacing w:after="20" w:line="240" w:lineRule="auto"/>
              <w:jc w:val="center"/>
            </w:pPr>
            <w:r/>
            <w:r>
              <w:rPr>
                <w:sz w:val="17"/>
              </w:rPr>
              <w:t>0,812</w:t>
            </w:r>
          </w:p>
        </w:tc>
        <w:tc>
          <w:tcPr>
            <w:tcW w:type="dxa" w:w="1512"/>
          </w:tcPr>
          <w:p>
            <w:pPr>
              <w:spacing w:after="20" w:line="240" w:lineRule="auto"/>
              <w:jc w:val="center"/>
            </w:pPr>
            <w:r/>
            <w:r>
              <w:rPr>
                <w:sz w:val="17"/>
              </w:rPr>
              <w:t>0,841</w:t>
            </w:r>
          </w:p>
        </w:tc>
      </w:tr>
      <w:tr>
        <w:tc>
          <w:tcPr>
            <w:tcW w:type="dxa" w:w="1512"/>
            <w:shd w:val="clear" w:color="auto" w:fill="F2F2F2"/>
          </w:tcPr>
          <w:p>
            <w:pPr>
              <w:spacing w:after="20" w:line="240" w:lineRule="auto"/>
              <w:jc w:val="left"/>
            </w:pPr>
            <w:r/>
            <w:r>
              <w:rPr>
                <w:sz w:val="17"/>
              </w:rPr>
              <w:t>class_weight</w:t>
            </w:r>
          </w:p>
        </w:tc>
        <w:tc>
          <w:tcPr>
            <w:tcW w:type="dxa" w:w="1512"/>
            <w:shd w:val="clear" w:color="auto" w:fill="F2F2F2"/>
          </w:tcPr>
          <w:p>
            <w:pPr>
              <w:spacing w:after="20" w:line="240" w:lineRule="auto"/>
              <w:jc w:val="center"/>
            </w:pPr>
            <w:r/>
            <w:r>
              <w:rPr>
                <w:sz w:val="17"/>
              </w:rPr>
              <w:t>DT</w:t>
            </w:r>
          </w:p>
        </w:tc>
        <w:tc>
          <w:tcPr>
            <w:tcW w:type="dxa" w:w="1512"/>
            <w:shd w:val="clear" w:color="auto" w:fill="F2F2F2"/>
          </w:tcPr>
          <w:p>
            <w:pPr>
              <w:spacing w:after="20" w:line="240" w:lineRule="auto"/>
              <w:jc w:val="center"/>
            </w:pPr>
            <w:r/>
            <w:r>
              <w:rPr>
                <w:sz w:val="17"/>
              </w:rPr>
              <w:t>0,745</w:t>
            </w:r>
          </w:p>
        </w:tc>
        <w:tc>
          <w:tcPr>
            <w:tcW w:type="dxa" w:w="1512"/>
            <w:shd w:val="clear" w:color="auto" w:fill="F2F2F2"/>
          </w:tcPr>
          <w:p>
            <w:pPr>
              <w:spacing w:after="20" w:line="240" w:lineRule="auto"/>
              <w:jc w:val="center"/>
            </w:pPr>
            <w:r/>
            <w:r>
              <w:rPr>
                <w:sz w:val="17"/>
              </w:rPr>
              <w:t>0,435</w:t>
            </w:r>
          </w:p>
        </w:tc>
        <w:tc>
          <w:tcPr>
            <w:tcW w:type="dxa" w:w="1512"/>
            <w:shd w:val="clear" w:color="auto" w:fill="F2F2F2"/>
          </w:tcPr>
          <w:p>
            <w:pPr>
              <w:spacing w:after="20" w:line="240" w:lineRule="auto"/>
              <w:jc w:val="center"/>
            </w:pPr>
            <w:r/>
            <w:r>
              <w:rPr>
                <w:sz w:val="17"/>
              </w:rPr>
              <w:t>0,792</w:t>
            </w:r>
          </w:p>
        </w:tc>
        <w:tc>
          <w:tcPr>
            <w:tcW w:type="dxa" w:w="1512"/>
            <w:shd w:val="clear" w:color="auto" w:fill="F2F2F2"/>
          </w:tcPr>
          <w:p>
            <w:pPr>
              <w:spacing w:after="20" w:line="240" w:lineRule="auto"/>
              <w:jc w:val="center"/>
            </w:pPr>
            <w:r/>
            <w:r>
              <w:rPr>
                <w:sz w:val="17"/>
              </w:rPr>
              <w:t>0,560</w:t>
            </w:r>
          </w:p>
        </w:tc>
      </w:tr>
      <w:tr>
        <w:tc>
          <w:tcPr>
            <w:tcW w:type="dxa" w:w="1512"/>
          </w:tcPr>
          <w:p>
            <w:pPr>
              <w:spacing w:after="20" w:line="240" w:lineRule="auto"/>
              <w:jc w:val="left"/>
            </w:pPr>
            <w:r/>
            <w:r>
              <w:rPr>
                <w:sz w:val="17"/>
              </w:rPr>
              <w:t>class_weight</w:t>
            </w:r>
          </w:p>
        </w:tc>
        <w:tc>
          <w:tcPr>
            <w:tcW w:type="dxa" w:w="1512"/>
          </w:tcPr>
          <w:p>
            <w:pPr>
              <w:spacing w:after="20" w:line="240" w:lineRule="auto"/>
              <w:jc w:val="center"/>
            </w:pPr>
            <w:r/>
            <w:r>
              <w:rPr>
                <w:sz w:val="17"/>
              </w:rPr>
              <w:t>RF</w:t>
            </w:r>
          </w:p>
        </w:tc>
        <w:tc>
          <w:tcPr>
            <w:tcW w:type="dxa" w:w="1512"/>
          </w:tcPr>
          <w:p>
            <w:pPr>
              <w:spacing w:after="20" w:line="240" w:lineRule="auto"/>
              <w:jc w:val="center"/>
            </w:pPr>
            <w:r/>
            <w:r>
              <w:rPr>
                <w:sz w:val="17"/>
              </w:rPr>
              <w:t>0,933</w:t>
            </w:r>
          </w:p>
        </w:tc>
        <w:tc>
          <w:tcPr>
            <w:tcW w:type="dxa" w:w="1512"/>
          </w:tcPr>
          <w:p>
            <w:pPr>
              <w:spacing w:after="20" w:line="240" w:lineRule="auto"/>
              <w:jc w:val="center"/>
            </w:pPr>
            <w:r/>
            <w:r>
              <w:rPr>
                <w:sz w:val="17"/>
              </w:rPr>
              <w:t>0,809</w:t>
            </w:r>
          </w:p>
        </w:tc>
        <w:tc>
          <w:tcPr>
            <w:tcW w:type="dxa" w:w="1512"/>
          </w:tcPr>
          <w:p>
            <w:pPr>
              <w:spacing w:after="20" w:line="240" w:lineRule="auto"/>
              <w:jc w:val="center"/>
            </w:pPr>
            <w:r/>
            <w:r>
              <w:rPr>
                <w:sz w:val="17"/>
              </w:rPr>
              <w:t>0,883</w:t>
            </w:r>
          </w:p>
        </w:tc>
        <w:tc>
          <w:tcPr>
            <w:tcW w:type="dxa" w:w="1512"/>
          </w:tcPr>
          <w:p>
            <w:pPr>
              <w:spacing w:after="20" w:line="240" w:lineRule="auto"/>
              <w:jc w:val="center"/>
            </w:pPr>
            <w:r/>
            <w:r>
              <w:rPr>
                <w:sz w:val="17"/>
              </w:rPr>
              <w:t>0,844</w:t>
            </w:r>
          </w:p>
        </w:tc>
      </w:tr>
      <w:tr>
        <w:tc>
          <w:tcPr>
            <w:tcW w:type="dxa" w:w="1512"/>
            <w:shd w:val="clear" w:color="auto" w:fill="F2F2F2"/>
          </w:tcPr>
          <w:p>
            <w:pPr>
              <w:spacing w:after="20" w:line="240" w:lineRule="auto"/>
              <w:jc w:val="left"/>
            </w:pPr>
            <w:r/>
            <w:r>
              <w:rPr>
                <w:sz w:val="17"/>
              </w:rPr>
              <w:t>Sobreamostragem aleatória</w:t>
            </w:r>
          </w:p>
        </w:tc>
        <w:tc>
          <w:tcPr>
            <w:tcW w:type="dxa" w:w="1512"/>
            <w:shd w:val="clear" w:color="auto" w:fill="F2F2F2"/>
          </w:tcPr>
          <w:p>
            <w:pPr>
              <w:spacing w:after="20" w:line="240" w:lineRule="auto"/>
              <w:jc w:val="center"/>
            </w:pPr>
            <w:r/>
            <w:r>
              <w:rPr>
                <w:sz w:val="17"/>
              </w:rPr>
              <w:t>DT</w:t>
            </w:r>
          </w:p>
        </w:tc>
        <w:tc>
          <w:tcPr>
            <w:tcW w:type="dxa" w:w="1512"/>
            <w:shd w:val="clear" w:color="auto" w:fill="F2F2F2"/>
          </w:tcPr>
          <w:p>
            <w:pPr>
              <w:spacing w:after="20" w:line="240" w:lineRule="auto"/>
              <w:jc w:val="center"/>
            </w:pPr>
            <w:r/>
            <w:r>
              <w:rPr>
                <w:sz w:val="17"/>
              </w:rPr>
              <w:t>0,760</w:t>
            </w:r>
          </w:p>
        </w:tc>
        <w:tc>
          <w:tcPr>
            <w:tcW w:type="dxa" w:w="1512"/>
            <w:shd w:val="clear" w:color="auto" w:fill="F2F2F2"/>
          </w:tcPr>
          <w:p>
            <w:pPr>
              <w:spacing w:after="20" w:line="240" w:lineRule="auto"/>
              <w:jc w:val="center"/>
            </w:pPr>
            <w:r/>
            <w:r>
              <w:rPr>
                <w:sz w:val="17"/>
              </w:rPr>
              <w:t>0,453</w:t>
            </w:r>
          </w:p>
        </w:tc>
        <w:tc>
          <w:tcPr>
            <w:tcW w:type="dxa" w:w="1512"/>
            <w:shd w:val="clear" w:color="auto" w:fill="F2F2F2"/>
          </w:tcPr>
          <w:p>
            <w:pPr>
              <w:spacing w:after="20" w:line="240" w:lineRule="auto"/>
              <w:jc w:val="center"/>
            </w:pPr>
            <w:r/>
            <w:r>
              <w:rPr>
                <w:sz w:val="17"/>
              </w:rPr>
              <w:t>0,742</w:t>
            </w:r>
          </w:p>
        </w:tc>
        <w:tc>
          <w:tcPr>
            <w:tcW w:type="dxa" w:w="1512"/>
            <w:shd w:val="clear" w:color="auto" w:fill="F2F2F2"/>
          </w:tcPr>
          <w:p>
            <w:pPr>
              <w:spacing w:after="20" w:line="240" w:lineRule="auto"/>
              <w:jc w:val="center"/>
            </w:pPr>
            <w:r/>
            <w:r>
              <w:rPr>
                <w:sz w:val="17"/>
              </w:rPr>
              <w:t>0,560</w:t>
            </w:r>
          </w:p>
        </w:tc>
      </w:tr>
      <w:tr>
        <w:tc>
          <w:tcPr>
            <w:tcW w:type="dxa" w:w="1512"/>
          </w:tcPr>
          <w:p>
            <w:pPr>
              <w:spacing w:after="20" w:line="240" w:lineRule="auto"/>
              <w:jc w:val="left"/>
            </w:pPr>
            <w:r/>
            <w:r>
              <w:rPr>
                <w:sz w:val="17"/>
              </w:rPr>
              <w:t>Sobreamostragem aleatória</w:t>
            </w:r>
          </w:p>
        </w:tc>
        <w:tc>
          <w:tcPr>
            <w:tcW w:type="dxa" w:w="1512"/>
          </w:tcPr>
          <w:p>
            <w:pPr>
              <w:spacing w:after="20" w:line="240" w:lineRule="auto"/>
              <w:jc w:val="center"/>
            </w:pPr>
            <w:r/>
            <w:r>
              <w:rPr>
                <w:sz w:val="17"/>
              </w:rPr>
              <w:t>KNN</w:t>
            </w:r>
          </w:p>
        </w:tc>
        <w:tc>
          <w:tcPr>
            <w:tcW w:type="dxa" w:w="1512"/>
          </w:tcPr>
          <w:p>
            <w:pPr>
              <w:spacing w:after="20" w:line="240" w:lineRule="auto"/>
              <w:jc w:val="center"/>
            </w:pPr>
            <w:r/>
            <w:r>
              <w:rPr>
                <w:sz w:val="17"/>
              </w:rPr>
              <w:t>0,689</w:t>
            </w:r>
          </w:p>
        </w:tc>
        <w:tc>
          <w:tcPr>
            <w:tcW w:type="dxa" w:w="1512"/>
          </w:tcPr>
          <w:p>
            <w:pPr>
              <w:spacing w:after="20" w:line="240" w:lineRule="auto"/>
              <w:jc w:val="center"/>
            </w:pPr>
            <w:r/>
            <w:r>
              <w:rPr>
                <w:sz w:val="17"/>
              </w:rPr>
              <w:t>0,374</w:t>
            </w:r>
          </w:p>
        </w:tc>
        <w:tc>
          <w:tcPr>
            <w:tcW w:type="dxa" w:w="1512"/>
          </w:tcPr>
          <w:p>
            <w:pPr>
              <w:spacing w:after="20" w:line="240" w:lineRule="auto"/>
              <w:jc w:val="center"/>
            </w:pPr>
            <w:r/>
            <w:r>
              <w:rPr>
                <w:sz w:val="17"/>
              </w:rPr>
              <w:t>0,759</w:t>
            </w:r>
          </w:p>
        </w:tc>
        <w:tc>
          <w:tcPr>
            <w:tcW w:type="dxa" w:w="1512"/>
          </w:tcPr>
          <w:p>
            <w:pPr>
              <w:spacing w:after="20" w:line="240" w:lineRule="auto"/>
              <w:jc w:val="center"/>
            </w:pPr>
            <w:r/>
            <w:r>
              <w:rPr>
                <w:sz w:val="17"/>
              </w:rPr>
              <w:t>0,501</w:t>
            </w:r>
          </w:p>
        </w:tc>
      </w:tr>
      <w:tr>
        <w:tc>
          <w:tcPr>
            <w:tcW w:type="dxa" w:w="1512"/>
            <w:shd w:val="clear" w:color="auto" w:fill="F2F2F2"/>
          </w:tcPr>
          <w:p>
            <w:pPr>
              <w:spacing w:after="20" w:line="240" w:lineRule="auto"/>
              <w:jc w:val="left"/>
            </w:pPr>
            <w:r/>
            <w:r>
              <w:rPr>
                <w:sz w:val="17"/>
              </w:rPr>
              <w:t>Sobreamostragem aleatória</w:t>
            </w:r>
          </w:p>
        </w:tc>
        <w:tc>
          <w:tcPr>
            <w:tcW w:type="dxa" w:w="1512"/>
            <w:shd w:val="clear" w:color="auto" w:fill="F2F2F2"/>
          </w:tcPr>
          <w:p>
            <w:pPr>
              <w:spacing w:after="20" w:line="240" w:lineRule="auto"/>
              <w:jc w:val="center"/>
            </w:pPr>
            <w:r/>
            <w:r>
              <w:rPr>
                <w:sz w:val="17"/>
              </w:rPr>
              <w:t>RF</w:t>
            </w:r>
          </w:p>
        </w:tc>
        <w:tc>
          <w:tcPr>
            <w:tcW w:type="dxa" w:w="1512"/>
            <w:shd w:val="clear" w:color="auto" w:fill="F2F2F2"/>
          </w:tcPr>
          <w:p>
            <w:pPr>
              <w:spacing w:after="20" w:line="240" w:lineRule="auto"/>
              <w:jc w:val="center"/>
            </w:pPr>
            <w:r/>
            <w:r>
              <w:rPr>
                <w:sz w:val="17"/>
              </w:rPr>
              <w:t>0,941</w:t>
            </w:r>
          </w:p>
        </w:tc>
        <w:tc>
          <w:tcPr>
            <w:tcW w:type="dxa" w:w="1512"/>
            <w:shd w:val="clear" w:color="auto" w:fill="F2F2F2"/>
          </w:tcPr>
          <w:p>
            <w:pPr>
              <w:spacing w:after="20" w:line="240" w:lineRule="auto"/>
              <w:jc w:val="center"/>
            </w:pPr>
            <w:r/>
            <w:r>
              <w:rPr>
                <w:sz w:val="17"/>
              </w:rPr>
              <w:t>0,853</w:t>
            </w:r>
          </w:p>
        </w:tc>
        <w:tc>
          <w:tcPr>
            <w:tcW w:type="dxa" w:w="1512"/>
            <w:shd w:val="clear" w:color="auto" w:fill="F2F2F2"/>
          </w:tcPr>
          <w:p>
            <w:pPr>
              <w:spacing w:after="20" w:line="240" w:lineRule="auto"/>
              <w:jc w:val="center"/>
            </w:pPr>
            <w:r/>
            <w:r>
              <w:rPr>
                <w:sz w:val="17"/>
              </w:rPr>
              <w:t>0,865</w:t>
            </w:r>
          </w:p>
        </w:tc>
        <w:tc>
          <w:tcPr>
            <w:tcW w:type="dxa" w:w="1512"/>
            <w:shd w:val="clear" w:color="auto" w:fill="F2F2F2"/>
          </w:tcPr>
          <w:p>
            <w:pPr>
              <w:spacing w:after="20" w:line="240" w:lineRule="auto"/>
              <w:jc w:val="center"/>
            </w:pPr>
            <w:r/>
            <w:r>
              <w:rPr>
                <w:sz w:val="17"/>
              </w:rPr>
              <w:t>0,858</w:t>
            </w:r>
          </w:p>
        </w:tc>
      </w:tr>
      <w:tr>
        <w:tc>
          <w:tcPr>
            <w:tcW w:type="dxa" w:w="1512"/>
          </w:tcPr>
          <w:p>
            <w:pPr>
              <w:spacing w:after="20" w:line="240" w:lineRule="auto"/>
              <w:jc w:val="left"/>
            </w:pPr>
            <w:r/>
            <w:r>
              <w:rPr>
                <w:sz w:val="17"/>
              </w:rPr>
              <w:t>SMOTE</w:t>
            </w:r>
          </w:p>
        </w:tc>
        <w:tc>
          <w:tcPr>
            <w:tcW w:type="dxa" w:w="1512"/>
          </w:tcPr>
          <w:p>
            <w:pPr>
              <w:spacing w:after="20" w:line="240" w:lineRule="auto"/>
              <w:jc w:val="center"/>
            </w:pPr>
            <w:r/>
            <w:r>
              <w:rPr>
                <w:sz w:val="17"/>
              </w:rPr>
              <w:t>DT</w:t>
            </w:r>
          </w:p>
        </w:tc>
        <w:tc>
          <w:tcPr>
            <w:tcW w:type="dxa" w:w="1512"/>
          </w:tcPr>
          <w:p>
            <w:pPr>
              <w:spacing w:after="20" w:line="240" w:lineRule="auto"/>
              <w:jc w:val="center"/>
            </w:pPr>
            <w:r/>
            <w:r>
              <w:rPr>
                <w:sz w:val="17"/>
              </w:rPr>
              <w:t>0,745</w:t>
            </w:r>
          </w:p>
        </w:tc>
        <w:tc>
          <w:tcPr>
            <w:tcW w:type="dxa" w:w="1512"/>
          </w:tcPr>
          <w:p>
            <w:pPr>
              <w:spacing w:after="20" w:line="240" w:lineRule="auto"/>
              <w:jc w:val="center"/>
            </w:pPr>
            <w:r/>
            <w:r>
              <w:rPr>
                <w:sz w:val="17"/>
              </w:rPr>
              <w:t>0,443</w:t>
            </w:r>
          </w:p>
        </w:tc>
        <w:tc>
          <w:tcPr>
            <w:tcW w:type="dxa" w:w="1512"/>
          </w:tcPr>
          <w:p>
            <w:pPr>
              <w:spacing w:after="20" w:line="240" w:lineRule="auto"/>
              <w:jc w:val="center"/>
            </w:pPr>
            <w:r/>
            <w:r>
              <w:rPr>
                <w:sz w:val="17"/>
              </w:rPr>
              <w:t>0,778</w:t>
            </w:r>
          </w:p>
        </w:tc>
        <w:tc>
          <w:tcPr>
            <w:tcW w:type="dxa" w:w="1512"/>
          </w:tcPr>
          <w:p>
            <w:pPr>
              <w:spacing w:after="20" w:line="240" w:lineRule="auto"/>
              <w:jc w:val="center"/>
            </w:pPr>
            <w:r/>
            <w:r>
              <w:rPr>
                <w:sz w:val="17"/>
              </w:rPr>
              <w:t>0,561</w:t>
            </w:r>
          </w:p>
        </w:tc>
      </w:tr>
      <w:tr>
        <w:tc>
          <w:tcPr>
            <w:tcW w:type="dxa" w:w="1512"/>
            <w:shd w:val="clear" w:color="auto" w:fill="F2F2F2"/>
          </w:tcPr>
          <w:p>
            <w:pPr>
              <w:spacing w:after="20" w:line="240" w:lineRule="auto"/>
              <w:jc w:val="left"/>
            </w:pPr>
            <w:r/>
            <w:r>
              <w:rPr>
                <w:sz w:val="17"/>
              </w:rPr>
              <w:t>SMOTE</w:t>
            </w:r>
          </w:p>
        </w:tc>
        <w:tc>
          <w:tcPr>
            <w:tcW w:type="dxa" w:w="1512"/>
            <w:shd w:val="clear" w:color="auto" w:fill="F2F2F2"/>
          </w:tcPr>
          <w:p>
            <w:pPr>
              <w:spacing w:after="20" w:line="240" w:lineRule="auto"/>
              <w:jc w:val="center"/>
            </w:pPr>
            <w:r/>
            <w:r>
              <w:rPr>
                <w:sz w:val="17"/>
              </w:rPr>
              <w:t>KNN</w:t>
            </w:r>
          </w:p>
        </w:tc>
        <w:tc>
          <w:tcPr>
            <w:tcW w:type="dxa" w:w="1512"/>
            <w:shd w:val="clear" w:color="auto" w:fill="F2F2F2"/>
          </w:tcPr>
          <w:p>
            <w:pPr>
              <w:spacing w:after="20" w:line="240" w:lineRule="auto"/>
              <w:jc w:val="center"/>
            </w:pPr>
            <w:r/>
            <w:r>
              <w:rPr>
                <w:sz w:val="17"/>
              </w:rPr>
              <w:t>0,696</w:t>
            </w:r>
          </w:p>
        </w:tc>
        <w:tc>
          <w:tcPr>
            <w:tcW w:type="dxa" w:w="1512"/>
            <w:shd w:val="clear" w:color="auto" w:fill="F2F2F2"/>
          </w:tcPr>
          <w:p>
            <w:pPr>
              <w:spacing w:after="20" w:line="240" w:lineRule="auto"/>
              <w:jc w:val="center"/>
            </w:pPr>
            <w:r/>
            <w:r>
              <w:rPr>
                <w:sz w:val="17"/>
              </w:rPr>
              <w:t>0,385</w:t>
            </w:r>
          </w:p>
        </w:tc>
        <w:tc>
          <w:tcPr>
            <w:tcW w:type="dxa" w:w="1512"/>
            <w:shd w:val="clear" w:color="auto" w:fill="F2F2F2"/>
          </w:tcPr>
          <w:p>
            <w:pPr>
              <w:spacing w:after="20" w:line="240" w:lineRule="auto"/>
              <w:jc w:val="center"/>
            </w:pPr>
            <w:r/>
            <w:r>
              <w:rPr>
                <w:sz w:val="17"/>
              </w:rPr>
              <w:t>0,800</w:t>
            </w:r>
          </w:p>
        </w:tc>
        <w:tc>
          <w:tcPr>
            <w:tcW w:type="dxa" w:w="1512"/>
            <w:shd w:val="clear" w:color="auto" w:fill="F2F2F2"/>
          </w:tcPr>
          <w:p>
            <w:pPr>
              <w:spacing w:after="20" w:line="240" w:lineRule="auto"/>
              <w:jc w:val="center"/>
            </w:pPr>
            <w:r/>
            <w:r>
              <w:rPr>
                <w:sz w:val="17"/>
              </w:rPr>
              <w:t>0,519</w:t>
            </w:r>
          </w:p>
        </w:tc>
      </w:tr>
      <w:tr>
        <w:tc>
          <w:tcPr>
            <w:tcW w:type="dxa" w:w="1512"/>
          </w:tcPr>
          <w:p>
            <w:pPr>
              <w:spacing w:after="20" w:line="240" w:lineRule="auto"/>
              <w:jc w:val="left"/>
            </w:pPr>
            <w:r/>
            <w:r>
              <w:rPr>
                <w:sz w:val="17"/>
              </w:rPr>
              <w:t>SMOTE</w:t>
            </w:r>
          </w:p>
        </w:tc>
        <w:tc>
          <w:tcPr>
            <w:tcW w:type="dxa" w:w="1512"/>
          </w:tcPr>
          <w:p>
            <w:pPr>
              <w:spacing w:after="20" w:line="240" w:lineRule="auto"/>
              <w:jc w:val="center"/>
            </w:pPr>
            <w:r/>
            <w:r>
              <w:rPr>
                <w:sz w:val="17"/>
              </w:rPr>
              <w:t>RF</w:t>
            </w:r>
          </w:p>
        </w:tc>
        <w:tc>
          <w:tcPr>
            <w:tcW w:type="dxa" w:w="1512"/>
          </w:tcPr>
          <w:p>
            <w:pPr>
              <w:spacing w:after="20" w:line="240" w:lineRule="auto"/>
              <w:jc w:val="center"/>
            </w:pPr>
            <w:r/>
            <w:r>
              <w:rPr>
                <w:sz w:val="17"/>
              </w:rPr>
              <w:t>0,942</w:t>
            </w:r>
          </w:p>
        </w:tc>
        <w:tc>
          <w:tcPr>
            <w:tcW w:type="dxa" w:w="1512"/>
          </w:tcPr>
          <w:p>
            <w:pPr>
              <w:spacing w:after="20" w:line="240" w:lineRule="auto"/>
              <w:jc w:val="center"/>
            </w:pPr>
            <w:r/>
            <w:r>
              <w:rPr>
                <w:sz w:val="17"/>
              </w:rPr>
              <w:t>0,861</w:t>
            </w:r>
          </w:p>
        </w:tc>
        <w:tc>
          <w:tcPr>
            <w:tcW w:type="dxa" w:w="1512"/>
          </w:tcPr>
          <w:p>
            <w:pPr>
              <w:spacing w:after="20" w:line="240" w:lineRule="auto"/>
              <w:jc w:val="center"/>
            </w:pPr>
            <w:r/>
            <w:r>
              <w:rPr>
                <w:sz w:val="17"/>
              </w:rPr>
              <w:t>0,856</w:t>
            </w:r>
          </w:p>
        </w:tc>
        <w:tc>
          <w:tcPr>
            <w:tcW w:type="dxa" w:w="1512"/>
          </w:tcPr>
          <w:p>
            <w:pPr>
              <w:spacing w:after="20" w:line="240" w:lineRule="auto"/>
              <w:jc w:val="center"/>
            </w:pPr>
            <w:r/>
            <w:r>
              <w:rPr>
                <w:sz w:val="17"/>
              </w:rPr>
              <w:t>0,858</w:t>
            </w:r>
          </w:p>
        </w:tc>
      </w:tr>
      <w:tr>
        <w:tc>
          <w:tcPr>
            <w:tcW w:type="dxa" w:w="1512"/>
            <w:shd w:val="clear" w:color="auto" w:fill="F2F2F2"/>
          </w:tcPr>
          <w:p>
            <w:pPr>
              <w:spacing w:after="20" w:line="240" w:lineRule="auto"/>
              <w:jc w:val="left"/>
            </w:pPr>
            <w:r/>
            <w:r>
              <w:rPr>
                <w:sz w:val="17"/>
              </w:rPr>
              <w:t>Subamostragem aleatória</w:t>
            </w:r>
          </w:p>
        </w:tc>
        <w:tc>
          <w:tcPr>
            <w:tcW w:type="dxa" w:w="1512"/>
            <w:shd w:val="clear" w:color="auto" w:fill="F2F2F2"/>
          </w:tcPr>
          <w:p>
            <w:pPr>
              <w:spacing w:after="20" w:line="240" w:lineRule="auto"/>
              <w:jc w:val="center"/>
            </w:pPr>
            <w:r/>
            <w:r>
              <w:rPr>
                <w:sz w:val="17"/>
              </w:rPr>
              <w:t>DT</w:t>
            </w:r>
          </w:p>
        </w:tc>
        <w:tc>
          <w:tcPr>
            <w:tcW w:type="dxa" w:w="1512"/>
            <w:shd w:val="clear" w:color="auto" w:fill="F2F2F2"/>
          </w:tcPr>
          <w:p>
            <w:pPr>
              <w:spacing w:after="20" w:line="240" w:lineRule="auto"/>
              <w:jc w:val="center"/>
            </w:pPr>
            <w:r/>
            <w:r>
              <w:rPr>
                <w:sz w:val="17"/>
              </w:rPr>
              <w:t>0,692</w:t>
            </w:r>
          </w:p>
        </w:tc>
        <w:tc>
          <w:tcPr>
            <w:tcW w:type="dxa" w:w="1512"/>
            <w:shd w:val="clear" w:color="auto" w:fill="F2F2F2"/>
          </w:tcPr>
          <w:p>
            <w:pPr>
              <w:spacing w:after="20" w:line="240" w:lineRule="auto"/>
              <w:jc w:val="center"/>
            </w:pPr>
            <w:r/>
            <w:r>
              <w:rPr>
                <w:sz w:val="17"/>
              </w:rPr>
              <w:t>0,395</w:t>
            </w:r>
          </w:p>
        </w:tc>
        <w:tc>
          <w:tcPr>
            <w:tcW w:type="dxa" w:w="1512"/>
            <w:shd w:val="clear" w:color="auto" w:fill="F2F2F2"/>
          </w:tcPr>
          <w:p>
            <w:pPr>
              <w:spacing w:after="20" w:line="240" w:lineRule="auto"/>
              <w:jc w:val="center"/>
            </w:pPr>
            <w:r/>
            <w:r>
              <w:rPr>
                <w:sz w:val="17"/>
              </w:rPr>
              <w:t>0,830</w:t>
            </w:r>
          </w:p>
        </w:tc>
        <w:tc>
          <w:tcPr>
            <w:tcW w:type="dxa" w:w="1512"/>
            <w:shd w:val="clear" w:color="auto" w:fill="F2F2F2"/>
          </w:tcPr>
          <w:p>
            <w:pPr>
              <w:spacing w:after="20" w:line="240" w:lineRule="auto"/>
              <w:jc w:val="center"/>
            </w:pPr>
            <w:r/>
            <w:r>
              <w:rPr>
                <w:sz w:val="17"/>
              </w:rPr>
              <w:t>0,530</w:t>
            </w:r>
          </w:p>
        </w:tc>
      </w:tr>
      <w:tr>
        <w:tc>
          <w:tcPr>
            <w:tcW w:type="dxa" w:w="1512"/>
          </w:tcPr>
          <w:p>
            <w:pPr>
              <w:spacing w:after="20" w:line="240" w:lineRule="auto"/>
              <w:jc w:val="left"/>
            </w:pPr>
            <w:r/>
            <w:r>
              <w:rPr>
                <w:sz w:val="17"/>
              </w:rPr>
              <w:t>Subamostragem aleatória</w:t>
            </w:r>
          </w:p>
        </w:tc>
        <w:tc>
          <w:tcPr>
            <w:tcW w:type="dxa" w:w="1512"/>
          </w:tcPr>
          <w:p>
            <w:pPr>
              <w:spacing w:after="20" w:line="240" w:lineRule="auto"/>
              <w:jc w:val="center"/>
            </w:pPr>
            <w:r/>
            <w:r>
              <w:rPr>
                <w:sz w:val="17"/>
              </w:rPr>
              <w:t>KNN</w:t>
            </w:r>
          </w:p>
        </w:tc>
        <w:tc>
          <w:tcPr>
            <w:tcW w:type="dxa" w:w="1512"/>
          </w:tcPr>
          <w:p>
            <w:pPr>
              <w:spacing w:after="20" w:line="240" w:lineRule="auto"/>
              <w:jc w:val="center"/>
            </w:pPr>
            <w:r/>
            <w:r>
              <w:rPr>
                <w:sz w:val="17"/>
              </w:rPr>
              <w:t>0,627</w:t>
            </w:r>
          </w:p>
        </w:tc>
        <w:tc>
          <w:tcPr>
            <w:tcW w:type="dxa" w:w="1512"/>
          </w:tcPr>
          <w:p>
            <w:pPr>
              <w:spacing w:after="20" w:line="240" w:lineRule="auto"/>
              <w:jc w:val="center"/>
            </w:pPr>
            <w:r/>
            <w:r>
              <w:rPr>
                <w:sz w:val="17"/>
              </w:rPr>
              <w:t>0,320</w:t>
            </w:r>
          </w:p>
        </w:tc>
        <w:tc>
          <w:tcPr>
            <w:tcW w:type="dxa" w:w="1512"/>
          </w:tcPr>
          <w:p>
            <w:pPr>
              <w:spacing w:after="20" w:line="240" w:lineRule="auto"/>
              <w:jc w:val="center"/>
            </w:pPr>
            <w:r/>
            <w:r>
              <w:rPr>
                <w:sz w:val="17"/>
              </w:rPr>
              <w:t>0,726</w:t>
            </w:r>
          </w:p>
        </w:tc>
        <w:tc>
          <w:tcPr>
            <w:tcW w:type="dxa" w:w="1512"/>
          </w:tcPr>
          <w:p>
            <w:pPr>
              <w:spacing w:after="20" w:line="240" w:lineRule="auto"/>
              <w:jc w:val="center"/>
            </w:pPr>
            <w:r/>
            <w:r>
              <w:rPr>
                <w:sz w:val="17"/>
              </w:rPr>
              <w:t>0,444</w:t>
            </w:r>
          </w:p>
        </w:tc>
      </w:tr>
      <w:tr>
        <w:tc>
          <w:tcPr>
            <w:tcW w:type="dxa" w:w="1512"/>
            <w:shd w:val="clear" w:color="auto" w:fill="F2F2F2"/>
          </w:tcPr>
          <w:p>
            <w:pPr>
              <w:spacing w:after="20" w:line="240" w:lineRule="auto"/>
              <w:jc w:val="left"/>
            </w:pPr>
            <w:r/>
            <w:r>
              <w:rPr>
                <w:sz w:val="17"/>
              </w:rPr>
              <w:t>Subamostragem aleatória</w:t>
            </w:r>
          </w:p>
        </w:tc>
        <w:tc>
          <w:tcPr>
            <w:tcW w:type="dxa" w:w="1512"/>
            <w:shd w:val="clear" w:color="auto" w:fill="F2F2F2"/>
          </w:tcPr>
          <w:p>
            <w:pPr>
              <w:spacing w:after="20" w:line="240" w:lineRule="auto"/>
              <w:jc w:val="center"/>
            </w:pPr>
            <w:r/>
            <w:r>
              <w:rPr>
                <w:sz w:val="17"/>
              </w:rPr>
              <w:t>RF</w:t>
            </w:r>
          </w:p>
        </w:tc>
        <w:tc>
          <w:tcPr>
            <w:tcW w:type="dxa" w:w="1512"/>
            <w:shd w:val="clear" w:color="auto" w:fill="F2F2F2"/>
          </w:tcPr>
          <w:p>
            <w:pPr>
              <w:spacing w:after="20" w:line="240" w:lineRule="auto"/>
              <w:jc w:val="center"/>
            </w:pPr>
            <w:r/>
            <w:r>
              <w:rPr>
                <w:sz w:val="17"/>
              </w:rPr>
              <w:t>0,851</w:t>
            </w:r>
          </w:p>
        </w:tc>
        <w:tc>
          <w:tcPr>
            <w:tcW w:type="dxa" w:w="1512"/>
            <w:shd w:val="clear" w:color="auto" w:fill="F2F2F2"/>
          </w:tcPr>
          <w:p>
            <w:pPr>
              <w:spacing w:after="20" w:line="240" w:lineRule="auto"/>
              <w:jc w:val="center"/>
            </w:pPr>
            <w:r/>
            <w:r>
              <w:rPr>
                <w:sz w:val="17"/>
              </w:rPr>
              <w:t>0,591</w:t>
            </w:r>
          </w:p>
        </w:tc>
        <w:tc>
          <w:tcPr>
            <w:tcW w:type="dxa" w:w="1512"/>
            <w:shd w:val="clear" w:color="auto" w:fill="F2F2F2"/>
          </w:tcPr>
          <w:p>
            <w:pPr>
              <w:spacing w:after="20" w:line="240" w:lineRule="auto"/>
              <w:jc w:val="center"/>
            </w:pPr>
            <w:r/>
            <w:r>
              <w:rPr>
                <w:sz w:val="17"/>
              </w:rPr>
              <w:t>0,911</w:t>
            </w:r>
          </w:p>
        </w:tc>
        <w:tc>
          <w:tcPr>
            <w:tcW w:type="dxa" w:w="1512"/>
            <w:shd w:val="clear" w:color="auto" w:fill="F2F2F2"/>
          </w:tcPr>
          <w:p>
            <w:pPr>
              <w:spacing w:after="20" w:line="240" w:lineRule="auto"/>
              <w:jc w:val="center"/>
            </w:pPr>
            <w:r/>
            <w:r>
              <w:rPr>
                <w:sz w:val="17"/>
              </w:rPr>
              <w:t>0,716</w:t>
            </w:r>
          </w:p>
        </w:tc>
      </w:tr>
    </w:tbl>
    <w:p>
      <w:pPr>
        <w:spacing w:after="80"/>
      </w:pPr>
    </w:p>
    <w:p>
      <w:pPr>
        <w:jc w:val="both"/>
      </w:pPr>
      <w:r>
        <w:rPr>
          <w:b w:val="0"/>
          <w:i w:val="0"/>
        </w:rPr>
        <w:t xml:space="preserve">Os resultados (Tabela 7 e Figura 11) mostram que: (i) a subamostragem é claramente prejudicial, porque descarta informação (a accuracy da Random Forest cai de 0,937 para 0,851); (ii) para a árvore de decisão e o KNN, a reamostragem aumenta o recall à custa de uma forte quebra de precision e de accuracy (por exemplo, o KNN passa de 0,807 para 0,696 de accuracy com SMOTE), ainda que melhore a F-measure; (iii) para a Random Forest, a sobreamostragem aleatória e o SMOTE melhoram simultaneamente a accuracy (0,937 → 0,941/0,942) e a F-measure (0,841 → 0,858). Como o efeito depende do algoritmo, </w:t>
      </w:r>
      <w:r>
        <w:rPr>
          <w:b/>
          <w:i w:val="0"/>
        </w:rPr>
        <w:t>a estratégia de reamostragem foi tratada como um hiperparâmetro</w:t>
      </w:r>
      <w:r>
        <w:rPr>
          <w:b w:val="0"/>
          <w:i w:val="0"/>
        </w:rPr>
        <w:t>: na fase de modelação, cada algoritmo escolhe, por validação cruzada, entre «nenhuma» e SMOTE. Não se incluiu a subamostragem. A ponderação de classes não foi usada porque nem todos os algoritmos a suportam.</w:t>
      </w:r>
    </w:p>
    <w:p>
      <w:pPr>
        <w:keepNext/>
        <w:jc w:val="center"/>
      </w:pPr>
      <w:r>
        <w:drawing>
          <wp:inline xmlns:a="http://schemas.openxmlformats.org/drawingml/2006/main" xmlns:pic="http://schemas.openxmlformats.org/drawingml/2006/picture">
            <wp:extent cx="3960000" cy="2227500"/>
            <wp:docPr id="11" name="Picture 11"/>
            <wp:cNvGraphicFramePr>
              <a:graphicFrameLocks noChangeAspect="1"/>
            </wp:cNvGraphicFramePr>
            <a:graphic>
              <a:graphicData uri="http://schemas.openxmlformats.org/drawingml/2006/picture">
                <pic:pic>
                  <pic:nvPicPr>
                    <pic:cNvPr id="0" name="imbalance.png"/>
                    <pic:cNvPicPr/>
                  </pic:nvPicPr>
                  <pic:blipFill>
                    <a:blip r:embed="rId19"/>
                    <a:stretch>
                      <a:fillRect/>
                    </a:stretch>
                  </pic:blipFill>
                  <pic:spPr>
                    <a:xfrm>
                      <a:off x="0" y="0"/>
                      <a:ext cx="3960000" cy="2227500"/>
                    </a:xfrm>
                    <a:prstGeom prst="rect"/>
                  </pic:spPr>
                </pic:pic>
              </a:graphicData>
            </a:graphic>
          </wp:inline>
        </w:drawing>
      </w:r>
    </w:p>
    <w:p>
      <w:pPr>
        <w:spacing w:after="200"/>
        <w:jc w:val="center"/>
      </w:pPr>
      <w:r>
        <w:rPr>
          <w:i/>
          <w:sz w:val="19"/>
        </w:rPr>
        <w:t>Figura 11 – Efeito das estratégias de tratamento do desequilíbrio na F-measure.</w:t>
      </w:r>
    </w:p>
    <w:p>
      <w:pPr>
        <w:pStyle w:val="Heading3"/>
      </w:pPr>
      <w:r>
        <w:t>2.3.5 Redundância de variáveis</w:t>
      </w:r>
    </w:p>
    <w:p>
      <w:pPr>
        <w:jc w:val="both"/>
      </w:pPr>
      <w:r>
        <w:rPr>
          <w:b w:val="0"/>
          <w:i w:val="0"/>
        </w:rPr>
        <w:t xml:space="preserve">Analisou-se a redundância por quatro vias. </w:t>
      </w:r>
      <w:r>
        <w:rPr>
          <w:b/>
          <w:i w:val="0"/>
        </w:rPr>
        <w:t>(1) Correlação:</w:t>
      </w:r>
      <w:r>
        <w:rPr>
          <w:b w:val="0"/>
          <w:i w:val="0"/>
        </w:rPr>
        <w:t xml:space="preserve"> os pares com maior correlação absoluta são d1–x4 (0,71), d10–d13 (0,62), x3–x5 (0,53), d11–x5 (0,48) e x3–x4 (0,48); nenhum ultrapassa 0,75, valor usual para sugerir a remoção. </w:t>
      </w:r>
      <w:r>
        <w:rPr>
          <w:b/>
          <w:i w:val="0"/>
        </w:rPr>
        <w:t>(2) Multicolinearidade:</w:t>
      </w:r>
      <w:r>
        <w:rPr>
          <w:b w:val="0"/>
          <w:i w:val="0"/>
        </w:rPr>
        <w:t xml:space="preserve"> os fatores de inflação da variância (VIF) das variáveis contínuas são todos baixos (máximo 1,90, em x3; Tabela 9), muito abaixo do limiar habitual de 5–10. </w:t>
      </w:r>
      <w:r>
        <w:rPr>
          <w:b/>
          <w:i w:val="0"/>
        </w:rPr>
        <w:t>(3) Variância quase nula:</w:t>
      </w:r>
      <w:r>
        <w:rPr>
          <w:b w:val="0"/>
          <w:i w:val="0"/>
        </w:rPr>
        <w:t xml:space="preserve"> d3, d7 e d8 têm variância inferior a 0,02 (prevalências de 2,0%, 1,5% e 2,0%). </w:t>
      </w:r>
      <w:r>
        <w:rPr>
          <w:b/>
          <w:i w:val="0"/>
        </w:rPr>
        <w:t>(4) Informação mútua com y:</w:t>
      </w:r>
      <w:r>
        <w:rPr>
          <w:b w:val="0"/>
          <w:i w:val="0"/>
        </w:rPr>
        <w:t xml:space="preserve"> nove variáveis (d3, d16, d7, d12, d14, d2, d13, d17, d8) têm informação mútua inferior a 0,001, ou seja, praticamente nula (Figura 12); as mais informativas são x9 (0,120), x5 (0,118), x7 (0,061), x3 (0,060) e x6 (0,027).</w:t>
      </w:r>
    </w:p>
    <w:p>
      <w:pPr>
        <w:keepNext/>
        <w:spacing w:after="60"/>
        <w:jc w:val="center"/>
      </w:pPr>
      <w:r>
        <w:rPr>
          <w:i/>
          <w:sz w:val="19"/>
        </w:rPr>
        <w:t>Tabela 8 – Pares de variáveis com maior correlação absoluta.</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9B1C2E"/>
          </w:tcPr>
          <w:p>
            <w:pPr>
              <w:spacing w:after="20" w:line="240" w:lineRule="auto"/>
              <w:jc w:val="center"/>
            </w:pPr>
            <w:r/>
            <w:r>
              <w:rPr>
                <w:b/>
                <w:color w:val="FFFFFF"/>
                <w:sz w:val="18"/>
              </w:rPr>
              <w:t>variável 1</w:t>
            </w:r>
          </w:p>
        </w:tc>
        <w:tc>
          <w:tcPr>
            <w:tcW w:type="dxa" w:w="2268"/>
            <w:shd w:val="clear" w:color="auto" w:fill="9B1C2E"/>
          </w:tcPr>
          <w:p>
            <w:pPr>
              <w:spacing w:after="20" w:line="240" w:lineRule="auto"/>
              <w:jc w:val="center"/>
            </w:pPr>
            <w:r/>
            <w:r>
              <w:rPr>
                <w:b/>
                <w:color w:val="FFFFFF"/>
                <w:sz w:val="18"/>
              </w:rPr>
              <w:t>variável 2</w:t>
            </w:r>
          </w:p>
        </w:tc>
        <w:tc>
          <w:tcPr>
            <w:tcW w:type="dxa" w:w="1701"/>
            <w:shd w:val="clear" w:color="auto" w:fill="9B1C2E"/>
          </w:tcPr>
          <w:p>
            <w:pPr>
              <w:spacing w:after="20" w:line="240" w:lineRule="auto"/>
              <w:jc w:val="center"/>
            </w:pPr>
            <w:r/>
            <w:r>
              <w:rPr>
                <w:b/>
                <w:color w:val="FFFFFF"/>
                <w:sz w:val="18"/>
              </w:rPr>
              <w:t>|r|</w:t>
            </w:r>
          </w:p>
        </w:tc>
      </w:tr>
      <w:tr>
        <w:tc>
          <w:tcPr>
            <w:tcW w:type="dxa" w:w="2268"/>
          </w:tcPr>
          <w:p>
            <w:pPr>
              <w:spacing w:after="20" w:line="240" w:lineRule="auto"/>
              <w:jc w:val="left"/>
            </w:pPr>
            <w:r/>
            <w:r>
              <w:rPr>
                <w:sz w:val="18"/>
              </w:rPr>
              <w:t>d1</w:t>
            </w:r>
          </w:p>
        </w:tc>
        <w:tc>
          <w:tcPr>
            <w:tcW w:type="dxa" w:w="2268"/>
          </w:tcPr>
          <w:p>
            <w:pPr>
              <w:spacing w:after="20" w:line="240" w:lineRule="auto"/>
              <w:jc w:val="center"/>
            </w:pPr>
            <w:r/>
            <w:r>
              <w:rPr>
                <w:sz w:val="18"/>
              </w:rPr>
              <w:t>x4</w:t>
            </w:r>
          </w:p>
        </w:tc>
        <w:tc>
          <w:tcPr>
            <w:tcW w:type="dxa" w:w="1701"/>
          </w:tcPr>
          <w:p>
            <w:pPr>
              <w:spacing w:after="20" w:line="240" w:lineRule="auto"/>
              <w:jc w:val="center"/>
            </w:pPr>
            <w:r/>
            <w:r>
              <w:rPr>
                <w:sz w:val="18"/>
              </w:rPr>
              <w:t>0,709</w:t>
            </w:r>
          </w:p>
        </w:tc>
      </w:tr>
      <w:tr>
        <w:tc>
          <w:tcPr>
            <w:tcW w:type="dxa" w:w="2268"/>
            <w:shd w:val="clear" w:color="auto" w:fill="F2F2F2"/>
          </w:tcPr>
          <w:p>
            <w:pPr>
              <w:spacing w:after="20" w:line="240" w:lineRule="auto"/>
              <w:jc w:val="left"/>
            </w:pPr>
            <w:r/>
            <w:r>
              <w:rPr>
                <w:sz w:val="18"/>
              </w:rPr>
              <w:t>d10</w:t>
            </w:r>
          </w:p>
        </w:tc>
        <w:tc>
          <w:tcPr>
            <w:tcW w:type="dxa" w:w="2268"/>
            <w:shd w:val="clear" w:color="auto" w:fill="F2F2F2"/>
          </w:tcPr>
          <w:p>
            <w:pPr>
              <w:spacing w:after="20" w:line="240" w:lineRule="auto"/>
              <w:jc w:val="center"/>
            </w:pPr>
            <w:r/>
            <w:r>
              <w:rPr>
                <w:sz w:val="18"/>
              </w:rPr>
              <w:t>d13</w:t>
            </w:r>
          </w:p>
        </w:tc>
        <w:tc>
          <w:tcPr>
            <w:tcW w:type="dxa" w:w="1701"/>
            <w:shd w:val="clear" w:color="auto" w:fill="F2F2F2"/>
          </w:tcPr>
          <w:p>
            <w:pPr>
              <w:spacing w:after="20" w:line="240" w:lineRule="auto"/>
              <w:jc w:val="center"/>
            </w:pPr>
            <w:r/>
            <w:r>
              <w:rPr>
                <w:sz w:val="18"/>
              </w:rPr>
              <w:t>0,615</w:t>
            </w:r>
          </w:p>
        </w:tc>
      </w:tr>
      <w:tr>
        <w:tc>
          <w:tcPr>
            <w:tcW w:type="dxa" w:w="2268"/>
          </w:tcPr>
          <w:p>
            <w:pPr>
              <w:spacing w:after="20" w:line="240" w:lineRule="auto"/>
              <w:jc w:val="left"/>
            </w:pPr>
            <w:r/>
            <w:r>
              <w:rPr>
                <w:sz w:val="18"/>
              </w:rPr>
              <w:t>x3</w:t>
            </w:r>
          </w:p>
        </w:tc>
        <w:tc>
          <w:tcPr>
            <w:tcW w:type="dxa" w:w="2268"/>
          </w:tcPr>
          <w:p>
            <w:pPr>
              <w:spacing w:after="20" w:line="240" w:lineRule="auto"/>
              <w:jc w:val="center"/>
            </w:pPr>
            <w:r/>
            <w:r>
              <w:rPr>
                <w:sz w:val="18"/>
              </w:rPr>
              <w:t>x5</w:t>
            </w:r>
          </w:p>
        </w:tc>
        <w:tc>
          <w:tcPr>
            <w:tcW w:type="dxa" w:w="1701"/>
          </w:tcPr>
          <w:p>
            <w:pPr>
              <w:spacing w:after="20" w:line="240" w:lineRule="auto"/>
              <w:jc w:val="center"/>
            </w:pPr>
            <w:r/>
            <w:r>
              <w:rPr>
                <w:sz w:val="18"/>
              </w:rPr>
              <w:t>0,526</w:t>
            </w:r>
          </w:p>
        </w:tc>
      </w:tr>
      <w:tr>
        <w:tc>
          <w:tcPr>
            <w:tcW w:type="dxa" w:w="2268"/>
            <w:shd w:val="clear" w:color="auto" w:fill="F2F2F2"/>
          </w:tcPr>
          <w:p>
            <w:pPr>
              <w:spacing w:after="20" w:line="240" w:lineRule="auto"/>
              <w:jc w:val="left"/>
            </w:pPr>
            <w:r/>
            <w:r>
              <w:rPr>
                <w:sz w:val="18"/>
              </w:rPr>
              <w:t>d11</w:t>
            </w:r>
          </w:p>
        </w:tc>
        <w:tc>
          <w:tcPr>
            <w:tcW w:type="dxa" w:w="2268"/>
            <w:shd w:val="clear" w:color="auto" w:fill="F2F2F2"/>
          </w:tcPr>
          <w:p>
            <w:pPr>
              <w:spacing w:after="20" w:line="240" w:lineRule="auto"/>
              <w:jc w:val="center"/>
            </w:pPr>
            <w:r/>
            <w:r>
              <w:rPr>
                <w:sz w:val="18"/>
              </w:rPr>
              <w:t>x5</w:t>
            </w:r>
          </w:p>
        </w:tc>
        <w:tc>
          <w:tcPr>
            <w:tcW w:type="dxa" w:w="1701"/>
            <w:shd w:val="clear" w:color="auto" w:fill="F2F2F2"/>
          </w:tcPr>
          <w:p>
            <w:pPr>
              <w:spacing w:after="20" w:line="240" w:lineRule="auto"/>
              <w:jc w:val="center"/>
            </w:pPr>
            <w:r/>
            <w:r>
              <w:rPr>
                <w:sz w:val="18"/>
              </w:rPr>
              <w:t>0,480</w:t>
            </w:r>
          </w:p>
        </w:tc>
      </w:tr>
      <w:tr>
        <w:tc>
          <w:tcPr>
            <w:tcW w:type="dxa" w:w="2268"/>
          </w:tcPr>
          <w:p>
            <w:pPr>
              <w:spacing w:after="20" w:line="240" w:lineRule="auto"/>
              <w:jc w:val="left"/>
            </w:pPr>
            <w:r/>
            <w:r>
              <w:rPr>
                <w:sz w:val="18"/>
              </w:rPr>
              <w:t>x3</w:t>
            </w:r>
          </w:p>
        </w:tc>
        <w:tc>
          <w:tcPr>
            <w:tcW w:type="dxa" w:w="2268"/>
          </w:tcPr>
          <w:p>
            <w:pPr>
              <w:spacing w:after="20" w:line="240" w:lineRule="auto"/>
              <w:jc w:val="center"/>
            </w:pPr>
            <w:r/>
            <w:r>
              <w:rPr>
                <w:sz w:val="18"/>
              </w:rPr>
              <w:t>x4</w:t>
            </w:r>
          </w:p>
        </w:tc>
        <w:tc>
          <w:tcPr>
            <w:tcW w:type="dxa" w:w="1701"/>
          </w:tcPr>
          <w:p>
            <w:pPr>
              <w:spacing w:after="20" w:line="240" w:lineRule="auto"/>
              <w:jc w:val="center"/>
            </w:pPr>
            <w:r/>
            <w:r>
              <w:rPr>
                <w:sz w:val="18"/>
              </w:rPr>
              <w:t>0,476</w:t>
            </w:r>
          </w:p>
        </w:tc>
      </w:tr>
      <w:tr>
        <w:tc>
          <w:tcPr>
            <w:tcW w:type="dxa" w:w="2268"/>
            <w:shd w:val="clear" w:color="auto" w:fill="F2F2F2"/>
          </w:tcPr>
          <w:p>
            <w:pPr>
              <w:spacing w:after="20" w:line="240" w:lineRule="auto"/>
              <w:jc w:val="left"/>
            </w:pPr>
            <w:r/>
            <w:r>
              <w:rPr>
                <w:sz w:val="18"/>
              </w:rPr>
              <w:t>d14</w:t>
            </w:r>
          </w:p>
        </w:tc>
        <w:tc>
          <w:tcPr>
            <w:tcW w:type="dxa" w:w="2268"/>
            <w:shd w:val="clear" w:color="auto" w:fill="F2F2F2"/>
          </w:tcPr>
          <w:p>
            <w:pPr>
              <w:spacing w:after="20" w:line="240" w:lineRule="auto"/>
              <w:jc w:val="center"/>
            </w:pPr>
            <w:r/>
            <w:r>
              <w:rPr>
                <w:sz w:val="18"/>
              </w:rPr>
              <w:t>x7</w:t>
            </w:r>
          </w:p>
        </w:tc>
        <w:tc>
          <w:tcPr>
            <w:tcW w:type="dxa" w:w="1701"/>
            <w:shd w:val="clear" w:color="auto" w:fill="F2F2F2"/>
          </w:tcPr>
          <w:p>
            <w:pPr>
              <w:spacing w:after="20" w:line="240" w:lineRule="auto"/>
              <w:jc w:val="center"/>
            </w:pPr>
            <w:r/>
            <w:r>
              <w:rPr>
                <w:sz w:val="18"/>
              </w:rPr>
              <w:t>0,471</w:t>
            </w:r>
          </w:p>
        </w:tc>
      </w:tr>
      <w:tr>
        <w:tc>
          <w:tcPr>
            <w:tcW w:type="dxa" w:w="2268"/>
          </w:tcPr>
          <w:p>
            <w:pPr>
              <w:spacing w:after="20" w:line="240" w:lineRule="auto"/>
              <w:jc w:val="left"/>
            </w:pPr>
            <w:r/>
            <w:r>
              <w:rPr>
                <w:sz w:val="18"/>
              </w:rPr>
              <w:t>d2</w:t>
            </w:r>
          </w:p>
        </w:tc>
        <w:tc>
          <w:tcPr>
            <w:tcW w:type="dxa" w:w="2268"/>
          </w:tcPr>
          <w:p>
            <w:pPr>
              <w:spacing w:after="20" w:line="240" w:lineRule="auto"/>
              <w:jc w:val="center"/>
            </w:pPr>
            <w:r/>
            <w:r>
              <w:rPr>
                <w:sz w:val="18"/>
              </w:rPr>
              <w:t>x7</w:t>
            </w:r>
          </w:p>
        </w:tc>
        <w:tc>
          <w:tcPr>
            <w:tcW w:type="dxa" w:w="1701"/>
          </w:tcPr>
          <w:p>
            <w:pPr>
              <w:spacing w:after="20" w:line="240" w:lineRule="auto"/>
              <w:jc w:val="center"/>
            </w:pPr>
            <w:r/>
            <w:r>
              <w:rPr>
                <w:sz w:val="18"/>
              </w:rPr>
              <w:t>0,375</w:t>
            </w:r>
          </w:p>
        </w:tc>
      </w:tr>
      <w:tr>
        <w:tc>
          <w:tcPr>
            <w:tcW w:type="dxa" w:w="2268"/>
            <w:shd w:val="clear" w:color="auto" w:fill="F2F2F2"/>
          </w:tcPr>
          <w:p>
            <w:pPr>
              <w:spacing w:after="20" w:line="240" w:lineRule="auto"/>
              <w:jc w:val="left"/>
            </w:pPr>
            <w:r/>
            <w:r>
              <w:rPr>
                <w:sz w:val="18"/>
              </w:rPr>
              <w:t>d2</w:t>
            </w:r>
          </w:p>
        </w:tc>
        <w:tc>
          <w:tcPr>
            <w:tcW w:type="dxa" w:w="2268"/>
            <w:shd w:val="clear" w:color="auto" w:fill="F2F2F2"/>
          </w:tcPr>
          <w:p>
            <w:pPr>
              <w:spacing w:after="20" w:line="240" w:lineRule="auto"/>
              <w:jc w:val="center"/>
            </w:pPr>
            <w:r/>
            <w:r>
              <w:rPr>
                <w:sz w:val="18"/>
              </w:rPr>
              <w:t>d17</w:t>
            </w:r>
          </w:p>
        </w:tc>
        <w:tc>
          <w:tcPr>
            <w:tcW w:type="dxa" w:w="1701"/>
            <w:shd w:val="clear" w:color="auto" w:fill="F2F2F2"/>
          </w:tcPr>
          <w:p>
            <w:pPr>
              <w:spacing w:after="20" w:line="240" w:lineRule="auto"/>
              <w:jc w:val="center"/>
            </w:pPr>
            <w:r/>
            <w:r>
              <w:rPr>
                <w:sz w:val="18"/>
              </w:rPr>
              <w:t>0,369</w:t>
            </w:r>
          </w:p>
        </w:tc>
      </w:tr>
    </w:tbl>
    <w:p>
      <w:pPr>
        <w:spacing w:after="80"/>
      </w:pPr>
    </w:p>
    <w:p>
      <w:pPr>
        <w:keepNext/>
        <w:spacing w:after="60"/>
        <w:jc w:val="center"/>
      </w:pPr>
      <w:r>
        <w:rPr>
          <w:i/>
          <w:sz w:val="19"/>
        </w:rPr>
        <w:t>Tabela 9 – Fatores de inflação da variância das variáveis contínuas.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val="clear" w:color="auto" w:fill="9B1C2E"/>
          </w:tcPr>
          <w:p>
            <w:pPr>
              <w:spacing w:after="20" w:line="240" w:lineRule="auto"/>
              <w:jc w:val="center"/>
            </w:pPr>
            <w:r/>
            <w:r>
              <w:rPr>
                <w:b/>
                <w:color w:val="FFFFFF"/>
                <w:sz w:val="17"/>
              </w:rPr>
            </w:r>
          </w:p>
        </w:tc>
        <w:tc>
          <w:tcPr>
            <w:tcW w:type="dxa" w:w="907"/>
            <w:shd w:val="clear" w:color="auto" w:fill="9B1C2E"/>
          </w:tcPr>
          <w:p>
            <w:pPr>
              <w:spacing w:after="20" w:line="240" w:lineRule="auto"/>
              <w:jc w:val="center"/>
            </w:pPr>
            <w:r/>
            <w:r>
              <w:rPr>
                <w:b/>
                <w:color w:val="FFFFFF"/>
                <w:sz w:val="17"/>
              </w:rPr>
              <w:t>x1</w:t>
            </w:r>
          </w:p>
        </w:tc>
        <w:tc>
          <w:tcPr>
            <w:tcW w:type="dxa" w:w="907"/>
            <w:shd w:val="clear" w:color="auto" w:fill="9B1C2E"/>
          </w:tcPr>
          <w:p>
            <w:pPr>
              <w:spacing w:after="20" w:line="240" w:lineRule="auto"/>
              <w:jc w:val="center"/>
            </w:pPr>
            <w:r/>
            <w:r>
              <w:rPr>
                <w:b/>
                <w:color w:val="FFFFFF"/>
                <w:sz w:val="17"/>
              </w:rPr>
              <w:t>x2</w:t>
            </w:r>
          </w:p>
        </w:tc>
        <w:tc>
          <w:tcPr>
            <w:tcW w:type="dxa" w:w="907"/>
            <w:shd w:val="clear" w:color="auto" w:fill="9B1C2E"/>
          </w:tcPr>
          <w:p>
            <w:pPr>
              <w:spacing w:after="20" w:line="240" w:lineRule="auto"/>
              <w:jc w:val="center"/>
            </w:pPr>
            <w:r/>
            <w:r>
              <w:rPr>
                <w:b/>
                <w:color w:val="FFFFFF"/>
                <w:sz w:val="17"/>
              </w:rPr>
              <w:t>x3</w:t>
            </w:r>
          </w:p>
        </w:tc>
        <w:tc>
          <w:tcPr>
            <w:tcW w:type="dxa" w:w="907"/>
            <w:shd w:val="clear" w:color="auto" w:fill="9B1C2E"/>
          </w:tcPr>
          <w:p>
            <w:pPr>
              <w:spacing w:after="20" w:line="240" w:lineRule="auto"/>
              <w:jc w:val="center"/>
            </w:pPr>
            <w:r/>
            <w:r>
              <w:rPr>
                <w:b/>
                <w:color w:val="FFFFFF"/>
                <w:sz w:val="17"/>
              </w:rPr>
              <w:t>x4</w:t>
            </w:r>
          </w:p>
        </w:tc>
        <w:tc>
          <w:tcPr>
            <w:tcW w:type="dxa" w:w="907"/>
            <w:shd w:val="clear" w:color="auto" w:fill="9B1C2E"/>
          </w:tcPr>
          <w:p>
            <w:pPr>
              <w:spacing w:after="20" w:line="240" w:lineRule="auto"/>
              <w:jc w:val="center"/>
            </w:pPr>
            <w:r/>
            <w:r>
              <w:rPr>
                <w:b/>
                <w:color w:val="FFFFFF"/>
                <w:sz w:val="17"/>
              </w:rPr>
              <w:t>x5</w:t>
            </w:r>
          </w:p>
        </w:tc>
        <w:tc>
          <w:tcPr>
            <w:tcW w:type="dxa" w:w="907"/>
            <w:shd w:val="clear" w:color="auto" w:fill="9B1C2E"/>
          </w:tcPr>
          <w:p>
            <w:pPr>
              <w:spacing w:after="20" w:line="240" w:lineRule="auto"/>
              <w:jc w:val="center"/>
            </w:pPr>
            <w:r/>
            <w:r>
              <w:rPr>
                <w:b/>
                <w:color w:val="FFFFFF"/>
                <w:sz w:val="17"/>
              </w:rPr>
              <w:t>x6</w:t>
            </w:r>
          </w:p>
        </w:tc>
        <w:tc>
          <w:tcPr>
            <w:tcW w:type="dxa" w:w="907"/>
            <w:shd w:val="clear" w:color="auto" w:fill="9B1C2E"/>
          </w:tcPr>
          <w:p>
            <w:pPr>
              <w:spacing w:after="20" w:line="240" w:lineRule="auto"/>
              <w:jc w:val="center"/>
            </w:pPr>
            <w:r/>
            <w:r>
              <w:rPr>
                <w:b/>
                <w:color w:val="FFFFFF"/>
                <w:sz w:val="17"/>
              </w:rPr>
              <w:t>x7</w:t>
            </w:r>
          </w:p>
        </w:tc>
        <w:tc>
          <w:tcPr>
            <w:tcW w:type="dxa" w:w="907"/>
            <w:shd w:val="clear" w:color="auto" w:fill="9B1C2E"/>
          </w:tcPr>
          <w:p>
            <w:pPr>
              <w:spacing w:after="20" w:line="240" w:lineRule="auto"/>
              <w:jc w:val="center"/>
            </w:pPr>
            <w:r/>
            <w:r>
              <w:rPr>
                <w:b/>
                <w:color w:val="FFFFFF"/>
                <w:sz w:val="17"/>
              </w:rPr>
              <w:t>x8</w:t>
            </w:r>
          </w:p>
        </w:tc>
        <w:tc>
          <w:tcPr>
            <w:tcW w:type="dxa" w:w="907"/>
            <w:shd w:val="clear" w:color="auto" w:fill="9B1C2E"/>
          </w:tcPr>
          <w:p>
            <w:pPr>
              <w:spacing w:after="20" w:line="240" w:lineRule="auto"/>
              <w:jc w:val="center"/>
            </w:pPr>
            <w:r/>
            <w:r>
              <w:rPr>
                <w:b/>
                <w:color w:val="FFFFFF"/>
                <w:sz w:val="17"/>
              </w:rPr>
              <w:t>x9</w:t>
            </w:r>
          </w:p>
        </w:tc>
      </w:tr>
      <w:tr>
        <w:tc>
          <w:tcPr>
            <w:tcW w:type="dxa" w:w="907"/>
          </w:tcPr>
          <w:p>
            <w:pPr>
              <w:spacing w:after="20" w:line="240" w:lineRule="auto"/>
              <w:jc w:val="left"/>
            </w:pPr>
            <w:r/>
            <w:r>
              <w:rPr>
                <w:sz w:val="17"/>
              </w:rPr>
              <w:t>VIF</w:t>
            </w:r>
          </w:p>
        </w:tc>
        <w:tc>
          <w:tcPr>
            <w:tcW w:type="dxa" w:w="907"/>
          </w:tcPr>
          <w:p>
            <w:pPr>
              <w:spacing w:after="20" w:line="240" w:lineRule="auto"/>
              <w:jc w:val="center"/>
            </w:pPr>
            <w:r/>
            <w:r>
              <w:rPr>
                <w:sz w:val="17"/>
              </w:rPr>
              <w:t>1,00</w:t>
            </w:r>
          </w:p>
        </w:tc>
        <w:tc>
          <w:tcPr>
            <w:tcW w:type="dxa" w:w="907"/>
          </w:tcPr>
          <w:p>
            <w:pPr>
              <w:spacing w:after="20" w:line="240" w:lineRule="auto"/>
              <w:jc w:val="center"/>
            </w:pPr>
            <w:r/>
            <w:r>
              <w:rPr>
                <w:sz w:val="17"/>
              </w:rPr>
              <w:t>1,13</w:t>
            </w:r>
          </w:p>
        </w:tc>
        <w:tc>
          <w:tcPr>
            <w:tcW w:type="dxa" w:w="907"/>
          </w:tcPr>
          <w:p>
            <w:pPr>
              <w:spacing w:after="20" w:line="240" w:lineRule="auto"/>
              <w:jc w:val="center"/>
            </w:pPr>
            <w:r/>
            <w:r>
              <w:rPr>
                <w:sz w:val="17"/>
              </w:rPr>
              <w:t>1,90</w:t>
            </w:r>
          </w:p>
        </w:tc>
        <w:tc>
          <w:tcPr>
            <w:tcW w:type="dxa" w:w="907"/>
          </w:tcPr>
          <w:p>
            <w:pPr>
              <w:spacing w:after="20" w:line="240" w:lineRule="auto"/>
              <w:jc w:val="center"/>
            </w:pPr>
            <w:r/>
            <w:r>
              <w:rPr>
                <w:sz w:val="17"/>
              </w:rPr>
              <w:t>1,43</w:t>
            </w:r>
          </w:p>
        </w:tc>
        <w:tc>
          <w:tcPr>
            <w:tcW w:type="dxa" w:w="907"/>
          </w:tcPr>
          <w:p>
            <w:pPr>
              <w:spacing w:after="20" w:line="240" w:lineRule="auto"/>
              <w:jc w:val="center"/>
            </w:pPr>
            <w:r/>
            <w:r>
              <w:rPr>
                <w:sz w:val="17"/>
              </w:rPr>
              <w:t>1,59</w:t>
            </w:r>
          </w:p>
        </w:tc>
        <w:tc>
          <w:tcPr>
            <w:tcW w:type="dxa" w:w="907"/>
          </w:tcPr>
          <w:p>
            <w:pPr>
              <w:spacing w:after="20" w:line="240" w:lineRule="auto"/>
              <w:jc w:val="center"/>
            </w:pPr>
            <w:r/>
            <w:r>
              <w:rPr>
                <w:sz w:val="17"/>
              </w:rPr>
              <w:t>1,11</w:t>
            </w:r>
          </w:p>
        </w:tc>
        <w:tc>
          <w:tcPr>
            <w:tcW w:type="dxa" w:w="907"/>
          </w:tcPr>
          <w:p>
            <w:pPr>
              <w:spacing w:after="20" w:line="240" w:lineRule="auto"/>
              <w:jc w:val="center"/>
            </w:pPr>
            <w:r/>
            <w:r>
              <w:rPr>
                <w:sz w:val="17"/>
              </w:rPr>
              <w:t>1,08</w:t>
            </w:r>
          </w:p>
        </w:tc>
        <w:tc>
          <w:tcPr>
            <w:tcW w:type="dxa" w:w="907"/>
          </w:tcPr>
          <w:p>
            <w:pPr>
              <w:spacing w:after="20" w:line="240" w:lineRule="auto"/>
              <w:jc w:val="center"/>
            </w:pPr>
            <w:r/>
            <w:r>
              <w:rPr>
                <w:sz w:val="17"/>
              </w:rPr>
              <w:t>1,15</w:t>
            </w:r>
          </w:p>
        </w:tc>
        <w:tc>
          <w:tcPr>
            <w:tcW w:type="dxa" w:w="907"/>
          </w:tcPr>
          <w:p>
            <w:pPr>
              <w:spacing w:after="20" w:line="240" w:lineRule="auto"/>
              <w:jc w:val="center"/>
            </w:pPr>
            <w:r/>
            <w:r>
              <w:rPr>
                <w:sz w:val="17"/>
              </w:rPr>
              <w:t>1,16</w:t>
            </w:r>
          </w:p>
        </w:tc>
      </w:tr>
    </w:tbl>
    <w:p>
      <w:pPr>
        <w:spacing w:after="80"/>
      </w:pPr>
    </w:p>
    <w:p>
      <w:pPr>
        <w:keepNext/>
        <w:jc w:val="center"/>
      </w:pPr>
      <w:r>
        <w:drawing>
          <wp:inline xmlns:a="http://schemas.openxmlformats.org/drawingml/2006/main" xmlns:pic="http://schemas.openxmlformats.org/drawingml/2006/picture">
            <wp:extent cx="3240000" cy="3534545"/>
            <wp:docPr id="12" name="Picture 12"/>
            <wp:cNvGraphicFramePr>
              <a:graphicFrameLocks noChangeAspect="1"/>
            </wp:cNvGraphicFramePr>
            <a:graphic>
              <a:graphicData uri="http://schemas.openxmlformats.org/drawingml/2006/picture">
                <pic:pic>
                  <pic:nvPicPr>
                    <pic:cNvPr id="0" name="mutual_info.png"/>
                    <pic:cNvPicPr/>
                  </pic:nvPicPr>
                  <pic:blipFill>
                    <a:blip r:embed="rId20"/>
                    <a:stretch>
                      <a:fillRect/>
                    </a:stretch>
                  </pic:blipFill>
                  <pic:spPr>
                    <a:xfrm>
                      <a:off x="0" y="0"/>
                      <a:ext cx="3240000" cy="3534545"/>
                    </a:xfrm>
                    <a:prstGeom prst="rect"/>
                  </pic:spPr>
                </pic:pic>
              </a:graphicData>
            </a:graphic>
          </wp:inline>
        </w:drawing>
      </w:r>
    </w:p>
    <w:p>
      <w:pPr>
        <w:spacing w:after="200"/>
        <w:jc w:val="center"/>
      </w:pPr>
      <w:r>
        <w:rPr>
          <w:i/>
          <w:sz w:val="19"/>
        </w:rPr>
        <w:t>Figura 12 – Informação mútua entre cada variável e y.</w:t>
      </w:r>
    </w:p>
    <w:p>
      <w:pPr>
        <w:jc w:val="both"/>
      </w:pPr>
      <w:r>
        <w:rPr>
          <w:b w:val="0"/>
          <w:i w:val="0"/>
        </w:rPr>
        <w:t xml:space="preserve">Testou-se o efeito de remover variáveis com uma Random Forest em validação cruzada (Tabela 10). Remover x3 (a mais correlacionada com outras) ou x3 e x4 diminuiu a accuracy (0,9340 e 0,9316, contra 0,9367 com todas as variáveis). Remover as nove variáveis de informação mútua nula aumentou-a ligeiramente (0,9398), mas o ganho de 0,003 é inferior ao desvio-padrão entre folds (cerca de 0,008), pelo que não é estatisticamente distinguível de zero. Assim, </w:t>
      </w:r>
      <w:r>
        <w:rPr>
          <w:b/>
          <w:i w:val="0"/>
        </w:rPr>
        <w:t>mantiveram-se todas as variáveis</w:t>
      </w:r>
      <w:r>
        <w:rPr>
          <w:b w:val="0"/>
          <w:i w:val="0"/>
        </w:rPr>
        <w:t>: não existe redundância severa, os modelos de árvores lidam bem com variáveis pouco informativas e a informação mútua univariada pode subestimar variáveis que só são úteis em interação com outras (a variável d2, por exemplo, tem MI quase nula mas está correlacionada com x7).</w:t>
      </w:r>
    </w:p>
    <w:p>
      <w:pPr>
        <w:keepNext/>
        <w:spacing w:after="60"/>
        <w:jc w:val="center"/>
      </w:pPr>
      <w:r>
        <w:rPr>
          <w:i/>
          <w:sz w:val="19"/>
        </w:rPr>
        <w:t>Tabela 10 – Efeito da remoção de variáveis (Random Forest, CV 5 folds).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shd w:val="clear" w:color="auto" w:fill="9B1C2E"/>
          </w:tcPr>
          <w:p>
            <w:pPr>
              <w:spacing w:after="20" w:line="240" w:lineRule="auto"/>
              <w:jc w:val="center"/>
            </w:pPr>
            <w:r/>
            <w:r>
              <w:rPr>
                <w:b/>
                <w:color w:val="FFFFFF"/>
                <w:sz w:val="18"/>
              </w:rPr>
              <w:t>conjunto de variáveis</w:t>
            </w:r>
          </w:p>
        </w:tc>
        <w:tc>
          <w:tcPr>
            <w:tcW w:type="dxa" w:w="1587"/>
            <w:shd w:val="clear" w:color="auto" w:fill="9B1C2E"/>
          </w:tcPr>
          <w:p>
            <w:pPr>
              <w:spacing w:after="20" w:line="240" w:lineRule="auto"/>
              <w:jc w:val="center"/>
            </w:pPr>
            <w:r/>
            <w:r>
              <w:rPr>
                <w:b/>
                <w:color w:val="FFFFFF"/>
                <w:sz w:val="18"/>
              </w:rPr>
              <w:t>n.º variáveis</w:t>
            </w:r>
          </w:p>
        </w:tc>
        <w:tc>
          <w:tcPr>
            <w:tcW w:type="dxa" w:w="1417"/>
            <w:shd w:val="clear" w:color="auto" w:fill="9B1C2E"/>
          </w:tcPr>
          <w:p>
            <w:pPr>
              <w:spacing w:after="20" w:line="240" w:lineRule="auto"/>
              <w:jc w:val="center"/>
            </w:pPr>
            <w:r/>
            <w:r>
              <w:rPr>
                <w:b/>
                <w:color w:val="FFFFFF"/>
                <w:sz w:val="18"/>
              </w:rPr>
              <w:t>accuracy</w:t>
            </w:r>
          </w:p>
        </w:tc>
        <w:tc>
          <w:tcPr>
            <w:tcW w:type="dxa" w:w="1417"/>
            <w:shd w:val="clear" w:color="auto" w:fill="9B1C2E"/>
          </w:tcPr>
          <w:p>
            <w:pPr>
              <w:spacing w:after="20" w:line="240" w:lineRule="auto"/>
              <w:jc w:val="center"/>
            </w:pPr>
            <w:r/>
            <w:r>
              <w:rPr>
                <w:b/>
                <w:color w:val="FFFFFF"/>
                <w:sz w:val="18"/>
              </w:rPr>
              <w:t>F1</w:t>
            </w:r>
          </w:p>
        </w:tc>
      </w:tr>
      <w:tr>
        <w:tc>
          <w:tcPr>
            <w:tcW w:type="dxa" w:w="3969"/>
          </w:tcPr>
          <w:p>
            <w:pPr>
              <w:spacing w:after="20" w:line="240" w:lineRule="auto"/>
              <w:jc w:val="left"/>
            </w:pPr>
            <w:r/>
            <w:r>
              <w:rPr>
                <w:sz w:val="18"/>
              </w:rPr>
              <w:t>todas</w:t>
            </w:r>
          </w:p>
        </w:tc>
        <w:tc>
          <w:tcPr>
            <w:tcW w:type="dxa" w:w="1587"/>
          </w:tcPr>
          <w:p>
            <w:pPr>
              <w:spacing w:after="20" w:line="240" w:lineRule="auto"/>
              <w:jc w:val="center"/>
            </w:pPr>
            <w:r/>
            <w:r>
              <w:rPr>
                <w:sz w:val="18"/>
              </w:rPr>
              <w:t>26</w:t>
            </w:r>
          </w:p>
        </w:tc>
        <w:tc>
          <w:tcPr>
            <w:tcW w:type="dxa" w:w="1417"/>
          </w:tcPr>
          <w:p>
            <w:pPr>
              <w:spacing w:after="20" w:line="240" w:lineRule="auto"/>
              <w:jc w:val="center"/>
            </w:pPr>
            <w:r/>
            <w:r>
              <w:rPr>
                <w:sz w:val="18"/>
              </w:rPr>
              <w:t>0,9367</w:t>
            </w:r>
          </w:p>
        </w:tc>
        <w:tc>
          <w:tcPr>
            <w:tcW w:type="dxa" w:w="1417"/>
          </w:tcPr>
          <w:p>
            <w:pPr>
              <w:spacing w:after="20" w:line="240" w:lineRule="auto"/>
              <w:jc w:val="center"/>
            </w:pPr>
            <w:r/>
            <w:r>
              <w:rPr>
                <w:sz w:val="18"/>
              </w:rPr>
              <w:t>0,8402</w:t>
            </w:r>
          </w:p>
        </w:tc>
      </w:tr>
      <w:tr>
        <w:tc>
          <w:tcPr>
            <w:tcW w:type="dxa" w:w="3969"/>
            <w:shd w:val="clear" w:color="auto" w:fill="F2F2F2"/>
          </w:tcPr>
          <w:p>
            <w:pPr>
              <w:spacing w:after="20" w:line="240" w:lineRule="auto"/>
              <w:jc w:val="left"/>
            </w:pPr>
            <w:r/>
            <w:r>
              <w:rPr>
                <w:sz w:val="18"/>
              </w:rPr>
              <w:t>sem x3 (corr. com x4/x5)</w:t>
            </w:r>
          </w:p>
        </w:tc>
        <w:tc>
          <w:tcPr>
            <w:tcW w:type="dxa" w:w="1587"/>
            <w:shd w:val="clear" w:color="auto" w:fill="F2F2F2"/>
          </w:tcPr>
          <w:p>
            <w:pPr>
              <w:spacing w:after="20" w:line="240" w:lineRule="auto"/>
              <w:jc w:val="center"/>
            </w:pPr>
            <w:r/>
            <w:r>
              <w:rPr>
                <w:sz w:val="18"/>
              </w:rPr>
              <w:t>25</w:t>
            </w:r>
          </w:p>
        </w:tc>
        <w:tc>
          <w:tcPr>
            <w:tcW w:type="dxa" w:w="1417"/>
            <w:shd w:val="clear" w:color="auto" w:fill="F2F2F2"/>
          </w:tcPr>
          <w:p>
            <w:pPr>
              <w:spacing w:after="20" w:line="240" w:lineRule="auto"/>
              <w:jc w:val="center"/>
            </w:pPr>
            <w:r/>
            <w:r>
              <w:rPr>
                <w:sz w:val="18"/>
              </w:rPr>
              <w:t>0,9340</w:t>
            </w:r>
          </w:p>
        </w:tc>
        <w:tc>
          <w:tcPr>
            <w:tcW w:type="dxa" w:w="1417"/>
            <w:shd w:val="clear" w:color="auto" w:fill="F2F2F2"/>
          </w:tcPr>
          <w:p>
            <w:pPr>
              <w:spacing w:after="20" w:line="240" w:lineRule="auto"/>
              <w:jc w:val="center"/>
            </w:pPr>
            <w:r/>
            <w:r>
              <w:rPr>
                <w:sz w:val="18"/>
              </w:rPr>
              <w:t>0,8322</w:t>
            </w:r>
          </w:p>
        </w:tc>
      </w:tr>
      <w:tr>
        <w:tc>
          <w:tcPr>
            <w:tcW w:type="dxa" w:w="3969"/>
          </w:tcPr>
          <w:p>
            <w:pPr>
              <w:spacing w:after="20" w:line="240" w:lineRule="auto"/>
              <w:jc w:val="left"/>
            </w:pPr>
            <w:r/>
            <w:r>
              <w:rPr>
                <w:sz w:val="18"/>
              </w:rPr>
              <w:t>sem x3 e x4</w:t>
            </w:r>
          </w:p>
        </w:tc>
        <w:tc>
          <w:tcPr>
            <w:tcW w:type="dxa" w:w="1587"/>
          </w:tcPr>
          <w:p>
            <w:pPr>
              <w:spacing w:after="20" w:line="240" w:lineRule="auto"/>
              <w:jc w:val="center"/>
            </w:pPr>
            <w:r/>
            <w:r>
              <w:rPr>
                <w:sz w:val="18"/>
              </w:rPr>
              <w:t>24</w:t>
            </w:r>
          </w:p>
        </w:tc>
        <w:tc>
          <w:tcPr>
            <w:tcW w:type="dxa" w:w="1417"/>
          </w:tcPr>
          <w:p>
            <w:pPr>
              <w:spacing w:after="20" w:line="240" w:lineRule="auto"/>
              <w:jc w:val="center"/>
            </w:pPr>
            <w:r/>
            <w:r>
              <w:rPr>
                <w:sz w:val="18"/>
              </w:rPr>
              <w:t>0,9316</w:t>
            </w:r>
          </w:p>
        </w:tc>
        <w:tc>
          <w:tcPr>
            <w:tcW w:type="dxa" w:w="1417"/>
          </w:tcPr>
          <w:p>
            <w:pPr>
              <w:spacing w:after="20" w:line="240" w:lineRule="auto"/>
              <w:jc w:val="center"/>
            </w:pPr>
            <w:r/>
            <w:r>
              <w:rPr>
                <w:sz w:val="18"/>
              </w:rPr>
              <w:t>0,8247</w:t>
            </w:r>
          </w:p>
        </w:tc>
      </w:tr>
      <w:tr>
        <w:tc>
          <w:tcPr>
            <w:tcW w:type="dxa" w:w="3969"/>
            <w:shd w:val="clear" w:color="auto" w:fill="F2F2F2"/>
          </w:tcPr>
          <w:p>
            <w:pPr>
              <w:spacing w:after="20" w:line="240" w:lineRule="auto"/>
              <w:jc w:val="left"/>
            </w:pPr>
            <w:r/>
            <w:r>
              <w:rPr>
                <w:sz w:val="18"/>
              </w:rPr>
              <w:t>sem variáveis |MI|≈0</w:t>
            </w:r>
          </w:p>
        </w:tc>
        <w:tc>
          <w:tcPr>
            <w:tcW w:type="dxa" w:w="1587"/>
            <w:shd w:val="clear" w:color="auto" w:fill="F2F2F2"/>
          </w:tcPr>
          <w:p>
            <w:pPr>
              <w:spacing w:after="20" w:line="240" w:lineRule="auto"/>
              <w:jc w:val="center"/>
            </w:pPr>
            <w:r/>
            <w:r>
              <w:rPr>
                <w:sz w:val="18"/>
              </w:rPr>
              <w:t>17</w:t>
            </w:r>
          </w:p>
        </w:tc>
        <w:tc>
          <w:tcPr>
            <w:tcW w:type="dxa" w:w="1417"/>
            <w:shd w:val="clear" w:color="auto" w:fill="F2F2F2"/>
          </w:tcPr>
          <w:p>
            <w:pPr>
              <w:spacing w:after="20" w:line="240" w:lineRule="auto"/>
              <w:jc w:val="center"/>
            </w:pPr>
            <w:r/>
            <w:r>
              <w:rPr>
                <w:sz w:val="18"/>
              </w:rPr>
              <w:t>0,9398</w:t>
            </w:r>
          </w:p>
        </w:tc>
        <w:tc>
          <w:tcPr>
            <w:tcW w:type="dxa" w:w="1417"/>
            <w:shd w:val="clear" w:color="auto" w:fill="F2F2F2"/>
          </w:tcPr>
          <w:p>
            <w:pPr>
              <w:spacing w:after="20" w:line="240" w:lineRule="auto"/>
              <w:jc w:val="center"/>
            </w:pPr>
            <w:r/>
            <w:r>
              <w:rPr>
                <w:sz w:val="18"/>
              </w:rPr>
              <w:t>0,8472</w:t>
            </w:r>
          </w:p>
        </w:tc>
      </w:tr>
    </w:tbl>
    <w:p>
      <w:pPr>
        <w:spacing w:after="80"/>
      </w:pPr>
    </w:p>
    <w:p>
      <w:pPr>
        <w:pStyle w:val="Heading3"/>
      </w:pPr>
      <w:r>
        <w:t>2.3.6 Criação dos dados de validação cruzada</w:t>
      </w:r>
    </w:p>
    <w:p>
      <w:pPr>
        <w:jc w:val="both"/>
      </w:pPr>
      <w:r>
        <w:rPr>
          <w:b w:val="0"/>
          <w:i w:val="0"/>
        </w:rPr>
        <w:t>A validação cruzada foi construída com StratifiedKFold (5 folds, embaralhamento, semente 42) sobre o treino interno, de modo que cada fold mantém a proporção de 20,58% de positivos (588 registos de teste e 2 352 de treino por fold). Este mesmo objeto de validação cruzada é partilhado por todos os modelos, para que as comparações sejam feitas exatamente sobre as mesmas partições. Quando a reamostragem (SMOTE) é usada, é aplicada apenas ao conjunto de treino de cada fold, através de um pipeline do imbalanced-learn.</w:t>
      </w:r>
    </w:p>
    <w:p>
      <w:pPr>
        <w:pStyle w:val="Heading3"/>
      </w:pPr>
      <w:r>
        <w:t>2.3.7 Plano de pré-processamento: resumo</w:t>
      </w:r>
    </w:p>
    <w:p>
      <w:pPr>
        <w:jc w:val="both"/>
      </w:pPr>
      <w:r>
        <w:rPr>
          <w:b w:val="0"/>
          <w:i w:val="0"/>
        </w:rPr>
        <w:t>O notebook «AATD – PreProc» propõe sete perguntas que resumem as decisões desta fase; as respostas, com base na análise anterior, são:</w:t>
      </w:r>
    </w:p>
    <w:p>
      <w:pPr>
        <w:pStyle w:val="ListBullet"/>
        <w:spacing w:after="40"/>
        <w:jc w:val="both"/>
      </w:pPr>
      <w:r>
        <w:rPr>
          <w:b w:val="0"/>
        </w:rPr>
      </w:r>
      <w:r>
        <w:rPr>
          <w:b/>
        </w:rPr>
        <w:t>Variáveis com valores em falta:</w:t>
      </w:r>
      <w:r>
        <w:rPr>
          <w:b w:val="0"/>
        </w:rPr>
        <w:t xml:space="preserve"> apenas x9 (49 registos no treino, 1,33%; 30 em task.csv); todos os registos de treino com x9 em falta têm y = 0.</w:t>
      </w:r>
    </w:p>
    <w:p>
      <w:pPr>
        <w:pStyle w:val="ListBullet"/>
        <w:spacing w:after="40"/>
        <w:jc w:val="both"/>
      </w:pPr>
      <w:r>
        <w:rPr>
          <w:b w:val="0"/>
        </w:rPr>
      </w:r>
      <w:r>
        <w:rPr>
          <w:b/>
        </w:rPr>
        <w:t>Tratamento dos valores em falta:</w:t>
      </w:r>
      <w:r>
        <w:rPr>
          <w:b w:val="0"/>
        </w:rPr>
        <w:t xml:space="preserve"> mediana do treino (calculada dentro de cada fold) mais indicador de ausência; a remoção das linhas foi testada e não melhora o resultado.</w:t>
      </w:r>
    </w:p>
    <w:p>
      <w:pPr>
        <w:pStyle w:val="ListBullet"/>
        <w:spacing w:after="40"/>
        <w:jc w:val="both"/>
      </w:pPr>
      <w:r>
        <w:rPr>
          <w:b w:val="0"/>
        </w:rPr>
      </w:r>
      <w:r>
        <w:rPr>
          <w:b/>
        </w:rPr>
        <w:t>Variáveis com outliers (Tukey):</w:t>
      </w:r>
      <w:r>
        <w:rPr>
          <w:b w:val="0"/>
        </w:rPr>
        <w:t xml:space="preserve"> x3 (61), x4 (377), x5 (374), x7 (103) e x8 (55); x1, x2, x6 e x9 não têm.</w:t>
      </w:r>
    </w:p>
    <w:p>
      <w:pPr>
        <w:pStyle w:val="ListBullet"/>
        <w:spacing w:after="40"/>
        <w:jc w:val="both"/>
      </w:pPr>
      <w:r>
        <w:rPr>
          <w:b w:val="0"/>
        </w:rPr>
      </w:r>
      <w:r>
        <w:rPr>
          <w:b/>
        </w:rPr>
        <w:t>Remover, manter ou investigar:</w:t>
      </w:r>
      <w:r>
        <w:rPr>
          <w:b w:val="0"/>
        </w:rPr>
        <w:t xml:space="preserve"> investigaram-se e </w:t>
      </w:r>
      <w:r>
        <w:rPr>
          <w:b/>
        </w:rPr>
        <w:t>mantiveram-se</w:t>
      </w:r>
      <w:r>
        <w:rPr>
          <w:b w:val="0"/>
        </w:rPr>
        <w:t>. x5 é muito assimétrica com valores grandes genuínos; x4 é quase constante (IQR = 0), pelo que todo o valor diferente de 1 é assinalado, embora 2 e 3 sejam categorias legítimas; os modelos de árvores são insensíveis a estes valores e a winsorização não melhorou KNN nem Naive Bayes.</w:t>
      </w:r>
    </w:p>
    <w:p>
      <w:pPr>
        <w:pStyle w:val="ListBullet"/>
        <w:spacing w:after="40"/>
        <w:jc w:val="both"/>
      </w:pPr>
      <w:r>
        <w:rPr>
          <w:b w:val="0"/>
        </w:rPr>
      </w:r>
      <w:r>
        <w:rPr>
          <w:b/>
        </w:rPr>
        <w:t>Variáveis com variabilidade muito baixa:</w:t>
      </w:r>
      <w:r>
        <w:rPr>
          <w:b w:val="0"/>
        </w:rPr>
        <w:t xml:space="preserve"> x4 (89,7% dos registos valem 1) e as variáveis binárias d3, d7, d8, d12, d10, d15, d16 e d17, com mais de 97% de zeros (a mais extrema é d7, com 98,5%). Foram mantidas.</w:t>
      </w:r>
    </w:p>
    <w:p>
      <w:pPr>
        <w:pStyle w:val="ListBullet"/>
        <w:spacing w:after="40"/>
        <w:jc w:val="both"/>
      </w:pPr>
      <w:r>
        <w:rPr>
          <w:b w:val="0"/>
        </w:rPr>
      </w:r>
      <w:r>
        <w:rPr>
          <w:b/>
        </w:rPr>
        <w:t>Categorias com frequência muito baixa:</w:t>
      </w:r>
      <w:r>
        <w:rPr>
          <w:b w:val="0"/>
        </w:rPr>
        <w:t xml:space="preserve"> as mesmas oito variáveis d têm prevalência inferior a 3% (de 1,5% em d7 a 2,8% em d16). Não foram agregadas, por serem indicadores binários independentes.</w:t>
      </w:r>
    </w:p>
    <w:p>
      <w:pPr>
        <w:pStyle w:val="ListBullet"/>
        <w:spacing w:after="40"/>
        <w:jc w:val="both"/>
      </w:pPr>
      <w:r>
        <w:rPr>
          <w:b w:val="0"/>
        </w:rPr>
      </w:r>
      <w:r>
        <w:rPr>
          <w:b/>
        </w:rPr>
        <w:t>Conjunto entregue à modelação:</w:t>
      </w:r>
      <w:r>
        <w:rPr>
          <w:b w:val="0"/>
        </w:rPr>
        <w:t xml:space="preserve"> 3 676 registos, as 26 variáveis preditoras (17 d e 9 x) mais o indicador x9_em_falta, sem a coluna i, com valores em falta imputados, outliers inalterados e padronização apenas nos modelos baseados em distâncias, dividido em treino interno (80%) e validação (20%) estratificados.</w:t>
      </w:r>
    </w:p>
    <w:p>
      <w:pPr>
        <w:pStyle w:val="Heading2"/>
      </w:pPr>
      <w:r>
        <w:t>2.4 Modelação (Modeling)</w:t>
      </w:r>
    </w:p>
    <w:p>
      <w:pPr>
        <w:pStyle w:val="Heading3"/>
      </w:pPr>
      <w:r>
        <w:t>2.4.1 Algoritmos</w:t>
      </w:r>
    </w:p>
    <w:p>
      <w:pPr>
        <w:jc w:val="both"/>
      </w:pPr>
      <w:r>
        <w:rPr>
          <w:b w:val="0"/>
          <w:i w:val="0"/>
        </w:rPr>
        <w:t>Compararam-se doze algoritmos de famílias distintas (Tabela 11). Todos partem do mesmo pré-processamento: imputação pela mediana com indicador de ausência de x9; padronização apenas nos modelos sensíveis à escala (KNN, Naive Bayes e MLP); e reamostragem opcional por SMOTE, escolhida por validação cruzada.</w:t>
      </w:r>
    </w:p>
    <w:p>
      <w:pPr>
        <w:keepNext/>
        <w:spacing w:after="60"/>
        <w:jc w:val="center"/>
      </w:pPr>
      <w:r>
        <w:rPr>
          <w:i/>
          <w:sz w:val="19"/>
        </w:rPr>
        <w:t>Tabela 11 – Algoritmos comparados.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9B1C2E"/>
          </w:tcPr>
          <w:p>
            <w:pPr>
              <w:spacing w:after="20" w:line="240" w:lineRule="auto"/>
              <w:jc w:val="center"/>
            </w:pPr>
            <w:r/>
            <w:r>
              <w:rPr>
                <w:b/>
                <w:color w:val="FFFFFF"/>
                <w:sz w:val="17"/>
              </w:rPr>
              <w:t>algoritmo</w:t>
            </w:r>
          </w:p>
        </w:tc>
        <w:tc>
          <w:tcPr>
            <w:tcW w:type="dxa" w:w="4819"/>
            <w:shd w:val="clear" w:color="auto" w:fill="9B1C2E"/>
          </w:tcPr>
          <w:p>
            <w:pPr>
              <w:spacing w:after="20" w:line="240" w:lineRule="auto"/>
              <w:jc w:val="center"/>
            </w:pPr>
            <w:r/>
            <w:r>
              <w:rPr>
                <w:b/>
                <w:color w:val="FFFFFF"/>
                <w:sz w:val="17"/>
              </w:rPr>
              <w:t>ideia principal</w:t>
            </w:r>
          </w:p>
        </w:tc>
        <w:tc>
          <w:tcPr>
            <w:tcW w:type="dxa" w:w="2551"/>
            <w:shd w:val="clear" w:color="auto" w:fill="9B1C2E"/>
          </w:tcPr>
          <w:p>
            <w:pPr>
              <w:spacing w:after="20" w:line="240" w:lineRule="auto"/>
              <w:jc w:val="center"/>
            </w:pPr>
            <w:r/>
            <w:r>
              <w:rPr>
                <w:b/>
                <w:color w:val="FFFFFF"/>
                <w:sz w:val="17"/>
              </w:rPr>
              <w:t>hiperparâmetros afinados</w:t>
            </w:r>
          </w:p>
        </w:tc>
      </w:tr>
      <w:tr>
        <w:tc>
          <w:tcPr>
            <w:tcW w:type="dxa" w:w="1701"/>
          </w:tcPr>
          <w:p>
            <w:pPr>
              <w:spacing w:after="20" w:line="240" w:lineRule="auto"/>
              <w:jc w:val="left"/>
            </w:pPr>
            <w:r/>
            <w:r>
              <w:rPr>
                <w:sz w:val="17"/>
              </w:rPr>
              <w:t>KNN</w:t>
            </w:r>
          </w:p>
        </w:tc>
        <w:tc>
          <w:tcPr>
            <w:tcW w:type="dxa" w:w="4819"/>
          </w:tcPr>
          <w:p>
            <w:pPr>
              <w:spacing w:after="20" w:line="240" w:lineRule="auto"/>
              <w:jc w:val="center"/>
            </w:pPr>
            <w:r/>
            <w:r>
              <w:rPr>
                <w:sz w:val="17"/>
              </w:rPr>
              <w:t>Classifica pela maioria (ponderada pela distância) dos k vizinhos mais próximos (Cover &amp; Hart, 1967)</w:t>
            </w:r>
          </w:p>
        </w:tc>
        <w:tc>
          <w:tcPr>
            <w:tcW w:type="dxa" w:w="2551"/>
          </w:tcPr>
          <w:p>
            <w:pPr>
              <w:spacing w:after="20" w:line="240" w:lineRule="auto"/>
              <w:jc w:val="center"/>
            </w:pPr>
            <w:r/>
            <w:r>
              <w:rPr>
                <w:sz w:val="17"/>
              </w:rPr>
              <w:t>n.º vizinhos, ponderação, métrica (L1/L2)</w:t>
            </w:r>
          </w:p>
        </w:tc>
      </w:tr>
      <w:tr>
        <w:tc>
          <w:tcPr>
            <w:tcW w:type="dxa" w:w="1701"/>
            <w:shd w:val="clear" w:color="auto" w:fill="F2F2F2"/>
          </w:tcPr>
          <w:p>
            <w:pPr>
              <w:spacing w:after="20" w:line="240" w:lineRule="auto"/>
              <w:jc w:val="left"/>
            </w:pPr>
            <w:r/>
            <w:r>
              <w:rPr>
                <w:sz w:val="17"/>
              </w:rPr>
              <w:t>Árvore de Decisão</w:t>
            </w:r>
          </w:p>
        </w:tc>
        <w:tc>
          <w:tcPr>
            <w:tcW w:type="dxa" w:w="4819"/>
            <w:shd w:val="clear" w:color="auto" w:fill="F2F2F2"/>
          </w:tcPr>
          <w:p>
            <w:pPr>
              <w:spacing w:after="20" w:line="240" w:lineRule="auto"/>
              <w:jc w:val="center"/>
            </w:pPr>
            <w:r/>
            <w:r>
              <w:rPr>
                <w:sz w:val="17"/>
              </w:rPr>
              <w:t>Partições recursivas por impureza de Gini ou entropia (CART; Breiman et al., 1984)</w:t>
            </w:r>
          </w:p>
        </w:tc>
        <w:tc>
          <w:tcPr>
            <w:tcW w:type="dxa" w:w="2551"/>
            <w:shd w:val="clear" w:color="auto" w:fill="F2F2F2"/>
          </w:tcPr>
          <w:p>
            <w:pPr>
              <w:spacing w:after="20" w:line="240" w:lineRule="auto"/>
              <w:jc w:val="center"/>
            </w:pPr>
            <w:r/>
            <w:r>
              <w:rPr>
                <w:sz w:val="17"/>
              </w:rPr>
              <w:t>profundidade, folha mínima, critério</w:t>
            </w:r>
          </w:p>
        </w:tc>
      </w:tr>
      <w:tr>
        <w:tc>
          <w:tcPr>
            <w:tcW w:type="dxa" w:w="1701"/>
          </w:tcPr>
          <w:p>
            <w:pPr>
              <w:spacing w:after="20" w:line="240" w:lineRule="auto"/>
              <w:jc w:val="left"/>
            </w:pPr>
            <w:r/>
            <w:r>
              <w:rPr>
                <w:sz w:val="17"/>
              </w:rPr>
              <w:t>Regressão Logística</w:t>
            </w:r>
          </w:p>
        </w:tc>
        <w:tc>
          <w:tcPr>
            <w:tcW w:type="dxa" w:w="4819"/>
          </w:tcPr>
          <w:p>
            <w:pPr>
              <w:spacing w:after="20" w:line="240" w:lineRule="auto"/>
              <w:jc w:val="center"/>
            </w:pPr>
            <w:r/>
            <w:r>
              <w:rPr>
                <w:sz w:val="17"/>
              </w:rPr>
              <w:t>Modelo linear que estima P(y=1) por uma função logística dos preditores, com regularização L2 (Cox, 1958)</w:t>
            </w:r>
          </w:p>
        </w:tc>
        <w:tc>
          <w:tcPr>
            <w:tcW w:type="dxa" w:w="2551"/>
          </w:tcPr>
          <w:p>
            <w:pPr>
              <w:spacing w:after="20" w:line="240" w:lineRule="auto"/>
              <w:jc w:val="center"/>
            </w:pPr>
            <w:r/>
            <w:r>
              <w:rPr>
                <w:sz w:val="17"/>
              </w:rPr>
              <w:t>C (inverso da regularização)</w:t>
            </w:r>
          </w:p>
        </w:tc>
      </w:tr>
      <w:tr>
        <w:tc>
          <w:tcPr>
            <w:tcW w:type="dxa" w:w="1701"/>
            <w:shd w:val="clear" w:color="auto" w:fill="F2F2F2"/>
          </w:tcPr>
          <w:p>
            <w:pPr>
              <w:spacing w:after="20" w:line="240" w:lineRule="auto"/>
              <w:jc w:val="left"/>
            </w:pPr>
            <w:r/>
            <w:r>
              <w:rPr>
                <w:sz w:val="17"/>
              </w:rPr>
              <w:t>K-Means (classificador)</w:t>
            </w:r>
          </w:p>
        </w:tc>
        <w:tc>
          <w:tcPr>
            <w:tcW w:type="dxa" w:w="4819"/>
            <w:shd w:val="clear" w:color="auto" w:fill="F2F2F2"/>
          </w:tcPr>
          <w:p>
            <w:pPr>
              <w:spacing w:after="20" w:line="240" w:lineRule="auto"/>
              <w:jc w:val="center"/>
            </w:pPr>
            <w:r/>
            <w:r>
              <w:rPr>
                <w:sz w:val="17"/>
              </w:rPr>
              <w:t>Agrupamento não supervisionado em k clusters; cada cluster recebe a classe maioritária dos exemplos de treino que o compõem (MacQueen, 1967)</w:t>
            </w:r>
          </w:p>
        </w:tc>
        <w:tc>
          <w:tcPr>
            <w:tcW w:type="dxa" w:w="2551"/>
            <w:shd w:val="clear" w:color="auto" w:fill="F2F2F2"/>
          </w:tcPr>
          <w:p>
            <w:pPr>
              <w:spacing w:after="20" w:line="240" w:lineRule="auto"/>
              <w:jc w:val="center"/>
            </w:pPr>
            <w:r/>
            <w:r>
              <w:rPr>
                <w:sz w:val="17"/>
              </w:rPr>
              <w:t>n.º de clusters</w:t>
            </w:r>
          </w:p>
        </w:tc>
      </w:tr>
      <w:tr>
        <w:tc>
          <w:tcPr>
            <w:tcW w:type="dxa" w:w="1701"/>
          </w:tcPr>
          <w:p>
            <w:pPr>
              <w:spacing w:after="20" w:line="240" w:lineRule="auto"/>
              <w:jc w:val="left"/>
            </w:pPr>
            <w:r/>
            <w:r>
              <w:rPr>
                <w:sz w:val="17"/>
              </w:rPr>
              <w:t>SVM</w:t>
            </w:r>
          </w:p>
        </w:tc>
        <w:tc>
          <w:tcPr>
            <w:tcW w:type="dxa" w:w="4819"/>
          </w:tcPr>
          <w:p>
            <w:pPr>
              <w:spacing w:after="20" w:line="240" w:lineRule="auto"/>
              <w:jc w:val="center"/>
            </w:pPr>
            <w:r/>
            <w:r>
              <w:rPr>
                <w:sz w:val="17"/>
              </w:rPr>
              <w:t>Hiperplano de margem máxima com núcleo RBF (Cortes &amp; Vapnik, 1995)</w:t>
            </w:r>
          </w:p>
        </w:tc>
        <w:tc>
          <w:tcPr>
            <w:tcW w:type="dxa" w:w="2551"/>
          </w:tcPr>
          <w:p>
            <w:pPr>
              <w:spacing w:after="20" w:line="240" w:lineRule="auto"/>
              <w:jc w:val="center"/>
            </w:pPr>
            <w:r/>
            <w:r>
              <w:rPr>
                <w:sz w:val="17"/>
              </w:rPr>
              <w:t>C, gamma</w:t>
            </w:r>
          </w:p>
        </w:tc>
      </w:tr>
      <w:tr>
        <w:tc>
          <w:tcPr>
            <w:tcW w:type="dxa" w:w="1701"/>
            <w:shd w:val="clear" w:color="auto" w:fill="F2F2F2"/>
          </w:tcPr>
          <w:p>
            <w:pPr>
              <w:spacing w:after="20" w:line="240" w:lineRule="auto"/>
              <w:jc w:val="left"/>
            </w:pPr>
            <w:r/>
            <w:r>
              <w:rPr>
                <w:sz w:val="17"/>
              </w:rPr>
              <w:t>Naive Bayes</w:t>
            </w:r>
          </w:p>
        </w:tc>
        <w:tc>
          <w:tcPr>
            <w:tcW w:type="dxa" w:w="4819"/>
            <w:shd w:val="clear" w:color="auto" w:fill="F2F2F2"/>
          </w:tcPr>
          <w:p>
            <w:pPr>
              <w:spacing w:after="20" w:line="240" w:lineRule="auto"/>
              <w:jc w:val="center"/>
            </w:pPr>
            <w:r/>
            <w:r>
              <w:rPr>
                <w:sz w:val="17"/>
              </w:rPr>
              <w:t>Regra de Bayes com independência condicional; Gaussiano</w:t>
            </w:r>
          </w:p>
        </w:tc>
        <w:tc>
          <w:tcPr>
            <w:tcW w:type="dxa" w:w="2551"/>
            <w:shd w:val="clear" w:color="auto" w:fill="F2F2F2"/>
          </w:tcPr>
          <w:p>
            <w:pPr>
              <w:spacing w:after="20" w:line="240" w:lineRule="auto"/>
              <w:jc w:val="center"/>
            </w:pPr>
            <w:r/>
            <w:r>
              <w:rPr>
                <w:sz w:val="17"/>
              </w:rPr>
              <w:t>var_smoothing</w:t>
            </w:r>
          </w:p>
        </w:tc>
      </w:tr>
      <w:tr>
        <w:tc>
          <w:tcPr>
            <w:tcW w:type="dxa" w:w="1701"/>
          </w:tcPr>
          <w:p>
            <w:pPr>
              <w:spacing w:after="20" w:line="240" w:lineRule="auto"/>
              <w:jc w:val="left"/>
            </w:pPr>
            <w:r/>
            <w:r>
              <w:rPr>
                <w:sz w:val="17"/>
              </w:rPr>
              <w:t>MLP</w:t>
            </w:r>
          </w:p>
        </w:tc>
        <w:tc>
          <w:tcPr>
            <w:tcW w:type="dxa" w:w="4819"/>
          </w:tcPr>
          <w:p>
            <w:pPr>
              <w:spacing w:after="20" w:line="240" w:lineRule="auto"/>
              <w:jc w:val="center"/>
            </w:pPr>
            <w:r/>
            <w:r>
              <w:rPr>
                <w:sz w:val="17"/>
              </w:rPr>
              <w:t>Rede neuronal com camadas densas, treinada por retropropagação (Rumelhart et al., 1986)</w:t>
            </w:r>
          </w:p>
        </w:tc>
        <w:tc>
          <w:tcPr>
            <w:tcW w:type="dxa" w:w="2551"/>
          </w:tcPr>
          <w:p>
            <w:pPr>
              <w:spacing w:after="20" w:line="240" w:lineRule="auto"/>
              <w:jc w:val="center"/>
            </w:pPr>
            <w:r/>
            <w:r>
              <w:rPr>
                <w:sz w:val="17"/>
              </w:rPr>
              <w:t>camadas, regularização L2, taxa de aprendizagem</w:t>
            </w:r>
          </w:p>
        </w:tc>
      </w:tr>
      <w:tr>
        <w:tc>
          <w:tcPr>
            <w:tcW w:type="dxa" w:w="1701"/>
            <w:shd w:val="clear" w:color="auto" w:fill="F2F2F2"/>
          </w:tcPr>
          <w:p>
            <w:pPr>
              <w:spacing w:after="20" w:line="240" w:lineRule="auto"/>
              <w:jc w:val="left"/>
            </w:pPr>
            <w:r/>
            <w:r>
              <w:rPr>
                <w:sz w:val="17"/>
              </w:rPr>
              <w:t>Random Forest</w:t>
            </w:r>
          </w:p>
        </w:tc>
        <w:tc>
          <w:tcPr>
            <w:tcW w:type="dxa" w:w="4819"/>
            <w:shd w:val="clear" w:color="auto" w:fill="F2F2F2"/>
          </w:tcPr>
          <w:p>
            <w:pPr>
              <w:spacing w:after="20" w:line="240" w:lineRule="auto"/>
              <w:jc w:val="center"/>
            </w:pPr>
            <w:r/>
            <w:r>
              <w:rPr>
                <w:sz w:val="17"/>
              </w:rPr>
              <w:t>Bagging de árvores com subconjunto aleatório de variáveis (Breiman, 2001)</w:t>
            </w:r>
          </w:p>
        </w:tc>
        <w:tc>
          <w:tcPr>
            <w:tcW w:type="dxa" w:w="2551"/>
            <w:shd w:val="clear" w:color="auto" w:fill="F2F2F2"/>
          </w:tcPr>
          <w:p>
            <w:pPr>
              <w:spacing w:after="20" w:line="240" w:lineRule="auto"/>
              <w:jc w:val="center"/>
            </w:pPr>
            <w:r/>
            <w:r>
              <w:rPr>
                <w:sz w:val="17"/>
              </w:rPr>
              <w:t>n.º árvores, max_features, folha mínima</w:t>
            </w:r>
          </w:p>
        </w:tc>
      </w:tr>
      <w:tr>
        <w:tc>
          <w:tcPr>
            <w:tcW w:type="dxa" w:w="1701"/>
          </w:tcPr>
          <w:p>
            <w:pPr>
              <w:spacing w:after="20" w:line="240" w:lineRule="auto"/>
              <w:jc w:val="left"/>
            </w:pPr>
            <w:r/>
            <w:r>
              <w:rPr>
                <w:sz w:val="17"/>
              </w:rPr>
              <w:t>Bagging</w:t>
            </w:r>
          </w:p>
        </w:tc>
        <w:tc>
          <w:tcPr>
            <w:tcW w:type="dxa" w:w="4819"/>
          </w:tcPr>
          <w:p>
            <w:pPr>
              <w:spacing w:after="20" w:line="240" w:lineRule="auto"/>
              <w:jc w:val="center"/>
            </w:pPr>
            <w:r/>
            <w:r>
              <w:rPr>
                <w:sz w:val="17"/>
              </w:rPr>
              <w:t>Árvores treinadas em amostras bootstrap, votação (Breiman, 1996)</w:t>
            </w:r>
          </w:p>
        </w:tc>
        <w:tc>
          <w:tcPr>
            <w:tcW w:type="dxa" w:w="2551"/>
          </w:tcPr>
          <w:p>
            <w:pPr>
              <w:spacing w:after="20" w:line="240" w:lineRule="auto"/>
              <w:jc w:val="center"/>
            </w:pPr>
            <w:r/>
            <w:r>
              <w:rPr>
                <w:sz w:val="17"/>
              </w:rPr>
              <w:t>n.º árvores, max_samples, profundidade</w:t>
            </w:r>
          </w:p>
        </w:tc>
      </w:tr>
      <w:tr>
        <w:tc>
          <w:tcPr>
            <w:tcW w:type="dxa" w:w="1701"/>
            <w:shd w:val="clear" w:color="auto" w:fill="F2F2F2"/>
          </w:tcPr>
          <w:p>
            <w:pPr>
              <w:spacing w:after="20" w:line="240" w:lineRule="auto"/>
              <w:jc w:val="left"/>
            </w:pPr>
            <w:r/>
            <w:r>
              <w:rPr>
                <w:sz w:val="17"/>
              </w:rPr>
              <w:t>AdaBoost</w:t>
            </w:r>
          </w:p>
        </w:tc>
        <w:tc>
          <w:tcPr>
            <w:tcW w:type="dxa" w:w="4819"/>
            <w:shd w:val="clear" w:color="auto" w:fill="F2F2F2"/>
          </w:tcPr>
          <w:p>
            <w:pPr>
              <w:spacing w:after="20" w:line="240" w:lineRule="auto"/>
              <w:jc w:val="center"/>
            </w:pPr>
            <w:r/>
            <w:r>
              <w:rPr>
                <w:sz w:val="17"/>
              </w:rPr>
              <w:t>Boosting sequencial com reponderação dos erros (Freund &amp; Schapire, 1997)</w:t>
            </w:r>
          </w:p>
        </w:tc>
        <w:tc>
          <w:tcPr>
            <w:tcW w:type="dxa" w:w="2551"/>
            <w:shd w:val="clear" w:color="auto" w:fill="F2F2F2"/>
          </w:tcPr>
          <w:p>
            <w:pPr>
              <w:spacing w:after="20" w:line="240" w:lineRule="auto"/>
              <w:jc w:val="center"/>
            </w:pPr>
            <w:r/>
            <w:r>
              <w:rPr>
                <w:sz w:val="17"/>
              </w:rPr>
              <w:t>n.º estimadores, taxa, profundidade base</w:t>
            </w:r>
          </w:p>
        </w:tc>
      </w:tr>
      <w:tr>
        <w:tc>
          <w:tcPr>
            <w:tcW w:type="dxa" w:w="1701"/>
          </w:tcPr>
          <w:p>
            <w:pPr>
              <w:spacing w:after="20" w:line="240" w:lineRule="auto"/>
              <w:jc w:val="left"/>
            </w:pPr>
            <w:r/>
            <w:r>
              <w:rPr>
                <w:sz w:val="17"/>
              </w:rPr>
              <w:t>Gradient Boosting</w:t>
            </w:r>
          </w:p>
        </w:tc>
        <w:tc>
          <w:tcPr>
            <w:tcW w:type="dxa" w:w="4819"/>
          </w:tcPr>
          <w:p>
            <w:pPr>
              <w:spacing w:after="20" w:line="240" w:lineRule="auto"/>
              <w:jc w:val="center"/>
            </w:pPr>
            <w:r/>
            <w:r>
              <w:rPr>
                <w:sz w:val="17"/>
              </w:rPr>
              <w:t>Boosting aditivo por gradiente de árvores pequenas (Friedman, 2001)</w:t>
            </w:r>
          </w:p>
        </w:tc>
        <w:tc>
          <w:tcPr>
            <w:tcW w:type="dxa" w:w="2551"/>
          </w:tcPr>
          <w:p>
            <w:pPr>
              <w:spacing w:after="20" w:line="240" w:lineRule="auto"/>
              <w:jc w:val="center"/>
            </w:pPr>
            <w:r/>
            <w:r>
              <w:rPr>
                <w:sz w:val="17"/>
              </w:rPr>
              <w:t>n.º árvores, taxa, profundidade, subamostra</w:t>
            </w:r>
          </w:p>
        </w:tc>
      </w:tr>
      <w:tr>
        <w:tc>
          <w:tcPr>
            <w:tcW w:type="dxa" w:w="1701"/>
            <w:shd w:val="clear" w:color="auto" w:fill="F2F2F2"/>
          </w:tcPr>
          <w:p>
            <w:pPr>
              <w:spacing w:after="20" w:line="240" w:lineRule="auto"/>
              <w:jc w:val="left"/>
            </w:pPr>
            <w:r/>
            <w:r>
              <w:rPr>
                <w:sz w:val="17"/>
              </w:rPr>
              <w:t>Extra Trees</w:t>
            </w:r>
          </w:p>
        </w:tc>
        <w:tc>
          <w:tcPr>
            <w:tcW w:type="dxa" w:w="4819"/>
            <w:shd w:val="clear" w:color="auto" w:fill="F2F2F2"/>
          </w:tcPr>
          <w:p>
            <w:pPr>
              <w:spacing w:after="20" w:line="240" w:lineRule="auto"/>
              <w:jc w:val="center"/>
            </w:pPr>
            <w:r/>
            <w:r>
              <w:rPr>
                <w:sz w:val="17"/>
              </w:rPr>
              <w:t>Árvores com cortes aleatórios, sem bootstrap (Geurts et al., 2006)</w:t>
            </w:r>
          </w:p>
        </w:tc>
        <w:tc>
          <w:tcPr>
            <w:tcW w:type="dxa" w:w="2551"/>
            <w:shd w:val="clear" w:color="auto" w:fill="F2F2F2"/>
          </w:tcPr>
          <w:p>
            <w:pPr>
              <w:spacing w:after="20" w:line="240" w:lineRule="auto"/>
              <w:jc w:val="center"/>
            </w:pPr>
            <w:r/>
            <w:r>
              <w:rPr>
                <w:sz w:val="17"/>
              </w:rPr>
              <w:t>n.º árvores, max_features, folha mínima</w:t>
            </w:r>
          </w:p>
        </w:tc>
      </w:tr>
    </w:tbl>
    <w:p>
      <w:pPr>
        <w:spacing w:after="80"/>
      </w:pPr>
    </w:p>
    <w:p>
      <w:pPr>
        <w:jc w:val="both"/>
      </w:pPr>
      <w:r>
        <w:rPr>
          <w:b w:val="0"/>
          <w:i w:val="0"/>
        </w:rPr>
        <w:t xml:space="preserve">O </w:t>
      </w:r>
      <w:r>
        <w:rPr>
          <w:b/>
          <w:i w:val="0"/>
        </w:rPr>
        <w:t>Extra Trees</w:t>
      </w:r>
      <w:r>
        <w:rPr>
          <w:b w:val="0"/>
          <w:i w:val="0"/>
        </w:rPr>
        <w:t xml:space="preserve">, a </w:t>
      </w:r>
      <w:r>
        <w:rPr>
          <w:b/>
          <w:i w:val="0"/>
        </w:rPr>
        <w:t>Regressão Logística</w:t>
      </w:r>
      <w:r>
        <w:rPr>
          <w:b w:val="0"/>
          <w:i w:val="0"/>
        </w:rPr>
        <w:t xml:space="preserve">, o </w:t>
      </w:r>
      <w:r>
        <w:rPr>
          <w:b/>
          <w:i w:val="0"/>
        </w:rPr>
        <w:t>SVM</w:t>
      </w:r>
      <w:r>
        <w:rPr>
          <w:b w:val="0"/>
          <w:i w:val="0"/>
        </w:rPr>
        <w:t xml:space="preserve"> e o </w:t>
      </w:r>
      <w:r>
        <w:rPr>
          <w:b/>
          <w:i w:val="0"/>
        </w:rPr>
        <w:t>K-Means</w:t>
      </w:r>
      <w:r>
        <w:rPr>
          <w:b w:val="0"/>
          <w:i w:val="0"/>
        </w:rPr>
        <w:t xml:space="preserve"> não estavam na lista pedida: o primeiro foi incluído por ser uma variante de Random Forest muito competitiva em dados de dimensão reduzida, a segunda como referência linear simples e interpretável, e os dois últimos por constarem dos exemplos das aulas (notebooks AATD – SVM e AATD – K-Means). O K-Means é um método não supervisionado; usa-se aqui como classificador atribuindo a cada cluster a classe maioritária do </w:t>
      </w:r>
      <w:r>
        <w:rPr>
          <w:b/>
          <w:i w:val="0"/>
        </w:rPr>
        <w:t>treino</w:t>
      </w:r>
      <w:r>
        <w:rPr>
          <w:b w:val="0"/>
          <w:i w:val="0"/>
        </w:rPr>
        <w:t xml:space="preserve"> (o notebook das aulas usava y_test, o que constitui fuga de informação). Os resultados dos oito algoritmos pedidos podem ser lidos sem os restantes. Considerou-se o conjunto Random Forest, Bagging, AdaBoost e Gradient Boosting como as famílias de «bagging» e «boosting».</w:t>
      </w:r>
    </w:p>
    <w:p>
      <w:pPr>
        <w:pStyle w:val="Heading3"/>
      </w:pPr>
      <w:r>
        <w:t>2.4.2 Afinação de hiperparâmetros e desenho do teste</w:t>
      </w:r>
    </w:p>
    <w:p>
      <w:pPr>
        <w:jc w:val="both"/>
      </w:pPr>
      <w:r>
        <w:rPr>
          <w:b w:val="0"/>
          <w:i w:val="0"/>
        </w:rPr>
        <w:t xml:space="preserve">A afinação fez-se com GridSearchCV (pesquisa exaustiva) sobre as grelhas do Anexo A, usando como critério a </w:t>
      </w:r>
      <w:r>
        <w:rPr>
          <w:b/>
          <w:i w:val="0"/>
        </w:rPr>
        <w:t>accuracy média em validação cruzada de 5 folds</w:t>
      </w:r>
      <w:r>
        <w:rPr>
          <w:b w:val="0"/>
          <w:i w:val="0"/>
        </w:rPr>
        <w:t xml:space="preserve"> no treino interno (a métrica da competição). O Gradient Boosting, mais caro, foi afinado com RandomizedSearchCV (12 combinações). Em todos os casos a escolha entre «sem reamostragem» e SMOTE faz parte da grelha. O SVM foi afinado apenas com núcleo RBF (o caso linear é coberto pela regressão logística) e, por não produzir probabilidades por omissão, usa a pontuação de decisão para o cálculo da AUC e das curvas ROC/PR. Após a escolha da melhor combinação, o modelo é reajustado em todo o treino interno e avaliado (i) por validação cruzada, reportando média e desvio-padrão e (ii) no conjunto de validação hold-out, reportando accuracy, precision, recall, F-measure, AUC-ROC e precisão média (área sob a curva precision-recall).</w:t>
      </w:r>
    </w:p>
    <w:p>
      <w:pPr>
        <w:pStyle w:val="Heading3"/>
      </w:pPr>
      <w:r>
        <w:t>2.4.3 Implementação: notebooks das aulas</w:t>
      </w:r>
    </w:p>
    <w:p>
      <w:pPr>
        <w:jc w:val="both"/>
      </w:pPr>
      <w:r>
        <w:rPr>
          <w:b w:val="0"/>
          <w:i w:val="0"/>
        </w:rPr>
        <w:t>O código foi construído a partir dos notebooks das aulas (AATD – DT, kNN, NB, SVM e K-Means), que seguem sempre o mesmo guião: Import Packages → Load Data → Create Train and Test Datasets → Train Model → Evaluate Model → Predict New Example. Cada um foi reproduzido com os dados do projeto (pasta notebooks/), mantendo os parâmetros usados nas aulas (kNN com k = 4, árvore e SVM por omissão, Naive Bayes Gaussiano, K-Means com k = 2) e a mesma divisão estratificada de 80% / 20% do relatório, acrescentando o que os dados exigem (imputação da mediana com indicador de ausência e, nos modelos baseados em distâncias, padronização, ambas ajustadas só no treino) e corrigindo dois erros dos originais: a accuracy era impressa como «0,97%» em vez de 97% e a correspondência cluster–classe do K-Means usava y_test. O notebook AATD – PreProc foi completado com a comparação remover/imputar e as respostas ao plano de pré-processamento (secção 2.3.7). O pipeline completo (afinação, validação cruzada e comparação) está no ficheiro trabalho_aatd.py.</w:t>
      </w:r>
    </w:p>
    <w:p>
      <w:pPr>
        <w:pStyle w:val="Heading2"/>
      </w:pPr>
      <w:r>
        <w:t>2.5 Avaliação (Evaluation)</w:t>
      </w:r>
    </w:p>
    <w:p>
      <w:pPr>
        <w:jc w:val="both"/>
      </w:pPr>
      <w:r>
        <w:rPr>
          <w:b w:val="0"/>
          <w:i w:val="0"/>
        </w:rPr>
        <w:t xml:space="preserve">A avaliação segue três níveis. </w:t>
      </w:r>
      <w:r>
        <w:rPr>
          <w:b/>
          <w:i w:val="0"/>
        </w:rPr>
        <w:t>Técnico:</w:t>
      </w:r>
      <w:r>
        <w:rPr>
          <w:b w:val="0"/>
          <w:i w:val="0"/>
        </w:rPr>
        <w:t xml:space="preserve"> accuracy, precision, recall e F-measure da classe «com desconto», matrizes de confusão, curvas ROC e curvas precision-recall. </w:t>
      </w:r>
      <w:r>
        <w:rPr>
          <w:b/>
          <w:i w:val="0"/>
        </w:rPr>
        <w:t>Estatístico:</w:t>
      </w:r>
      <w:r>
        <w:rPr>
          <w:b w:val="0"/>
          <w:i w:val="0"/>
        </w:rPr>
        <w:t xml:space="preserve"> como o conjunto de validação tem 736 registos, o erro-padrão de uma accuracy de 0,95 é de cerca de 0,8 pontos percentuais (√(0,95·0,05/736)), e o desvio-padrão da accuracy entre folds de CV é de cerca de 0,8 pontos; diferenças inferiores a este valor não devem ser interpretadas como superioridade. </w:t>
      </w:r>
      <w:r>
        <w:rPr>
          <w:b/>
          <w:i w:val="0"/>
        </w:rPr>
        <w:t>De negócio:</w:t>
      </w:r>
      <w:r>
        <w:rPr>
          <w:b w:val="0"/>
          <w:i w:val="0"/>
        </w:rPr>
        <w:t xml:space="preserve"> comparação com a baseline (79,4%) e análise do tipo de erros (falsos positivos vs. falsos negativos).</w:t>
      </w:r>
    </w:p>
    <w:p>
      <w:r>
        <w:br w:type="page"/>
      </w:r>
    </w:p>
    <w:p>
      <w:pPr>
        <w:pStyle w:val="Heading1"/>
      </w:pPr>
      <w:r>
        <w:t>3. Resultados</w:t>
      </w:r>
    </w:p>
    <w:p>
      <w:pPr>
        <w:pStyle w:val="Heading2"/>
      </w:pPr>
      <w:r>
        <w:t>3.1 Comparação dos modelos</w:t>
      </w:r>
    </w:p>
    <w:p>
      <w:pPr>
        <w:jc w:val="both"/>
      </w:pPr>
      <w:r>
        <w:rPr>
          <w:b w:val="0"/>
          <w:i w:val="0"/>
        </w:rPr>
        <w:t>A Tabela 12 apresenta, para cada algoritmo com os hiperparâmetros selecionados por validação cruzada, a accuracy média (± desvio-padrão) em CV no treino interno e as quatro métricas no conjunto de validação. As colunas Precision, Recall e F-measure referem-se à classe «com desconto». A linha a negrito corresponde ao modelo selecionado pelo critério de maior accuracy em validação cruzada.</w:t>
      </w:r>
    </w:p>
    <w:p>
      <w:pPr>
        <w:keepNext/>
        <w:spacing w:after="60"/>
        <w:jc w:val="center"/>
      </w:pPr>
      <w:r>
        <w:rPr>
          <w:i/>
          <w:sz w:val="19"/>
        </w:rPr>
        <w:t>Tabela 12 – Tabela comparativa dos modelos (CV no treino interno; restantes métricas no conjunto de validação, classe 1). Baseline (maioria): accuracy = 0,794.</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9B1C2E"/>
          </w:tcPr>
          <w:p>
            <w:pPr>
              <w:spacing w:after="20" w:line="240" w:lineRule="auto"/>
              <w:jc w:val="center"/>
            </w:pPr>
            <w:r/>
            <w:r>
              <w:rPr>
                <w:b/>
                <w:color w:val="FFFFFF"/>
                <w:sz w:val="17"/>
              </w:rPr>
              <w:t>Modelo</w:t>
            </w:r>
          </w:p>
        </w:tc>
        <w:tc>
          <w:tcPr>
            <w:tcW w:type="dxa" w:w="1134"/>
            <w:shd w:val="clear" w:color="auto" w:fill="9B1C2E"/>
          </w:tcPr>
          <w:p>
            <w:pPr>
              <w:spacing w:after="20" w:line="240" w:lineRule="auto"/>
              <w:jc w:val="center"/>
            </w:pPr>
            <w:r/>
            <w:r>
              <w:rPr>
                <w:b/>
                <w:color w:val="FFFFFF"/>
                <w:sz w:val="17"/>
              </w:rPr>
              <w:t>CV accuracy</w:t>
            </w:r>
          </w:p>
        </w:tc>
        <w:tc>
          <w:tcPr>
            <w:tcW w:type="dxa" w:w="1134"/>
            <w:shd w:val="clear" w:color="auto" w:fill="9B1C2E"/>
          </w:tcPr>
          <w:p>
            <w:pPr>
              <w:spacing w:after="20" w:line="240" w:lineRule="auto"/>
              <w:jc w:val="center"/>
            </w:pPr>
            <w:r/>
            <w:r>
              <w:rPr>
                <w:b/>
                <w:color w:val="FFFFFF"/>
                <w:sz w:val="17"/>
              </w:rPr>
              <w:t>CV F1</w:t>
            </w:r>
          </w:p>
        </w:tc>
        <w:tc>
          <w:tcPr>
            <w:tcW w:type="dxa" w:w="1134"/>
            <w:shd w:val="clear" w:color="auto" w:fill="9B1C2E"/>
          </w:tcPr>
          <w:p>
            <w:pPr>
              <w:spacing w:after="20" w:line="240" w:lineRule="auto"/>
              <w:jc w:val="center"/>
            </w:pPr>
            <w:r/>
            <w:r>
              <w:rPr>
                <w:b/>
                <w:color w:val="FFFFFF"/>
                <w:sz w:val="17"/>
              </w:rPr>
              <w:t>Accuracy</w:t>
            </w:r>
          </w:p>
        </w:tc>
        <w:tc>
          <w:tcPr>
            <w:tcW w:type="dxa" w:w="1134"/>
            <w:shd w:val="clear" w:color="auto" w:fill="9B1C2E"/>
          </w:tcPr>
          <w:p>
            <w:pPr>
              <w:spacing w:after="20" w:line="240" w:lineRule="auto"/>
              <w:jc w:val="center"/>
            </w:pPr>
            <w:r/>
            <w:r>
              <w:rPr>
                <w:b/>
                <w:color w:val="FFFFFF"/>
                <w:sz w:val="17"/>
              </w:rPr>
              <w:t>Precision</w:t>
            </w:r>
          </w:p>
        </w:tc>
        <w:tc>
          <w:tcPr>
            <w:tcW w:type="dxa" w:w="1134"/>
            <w:shd w:val="clear" w:color="auto" w:fill="9B1C2E"/>
          </w:tcPr>
          <w:p>
            <w:pPr>
              <w:spacing w:after="20" w:line="240" w:lineRule="auto"/>
              <w:jc w:val="center"/>
            </w:pPr>
            <w:r/>
            <w:r>
              <w:rPr>
                <w:b/>
                <w:color w:val="FFFFFF"/>
                <w:sz w:val="17"/>
              </w:rPr>
              <w:t>Recall</w:t>
            </w:r>
          </w:p>
        </w:tc>
        <w:tc>
          <w:tcPr>
            <w:tcW w:type="dxa" w:w="1134"/>
            <w:shd w:val="clear" w:color="auto" w:fill="9B1C2E"/>
          </w:tcPr>
          <w:p>
            <w:pPr>
              <w:spacing w:after="20" w:line="240" w:lineRule="auto"/>
              <w:jc w:val="center"/>
            </w:pPr>
            <w:r/>
            <w:r>
              <w:rPr>
                <w:b/>
                <w:color w:val="FFFFFF"/>
                <w:sz w:val="17"/>
              </w:rPr>
              <w:t>F-measure</w:t>
            </w:r>
          </w:p>
        </w:tc>
        <w:tc>
          <w:tcPr>
            <w:tcW w:type="dxa" w:w="1134"/>
            <w:shd w:val="clear" w:color="auto" w:fill="9B1C2E"/>
          </w:tcPr>
          <w:p>
            <w:pPr>
              <w:spacing w:after="20" w:line="240" w:lineRule="auto"/>
              <w:jc w:val="center"/>
            </w:pPr>
            <w:r/>
            <w:r>
              <w:rPr>
                <w:b/>
                <w:color w:val="FFFFFF"/>
                <w:sz w:val="17"/>
              </w:rPr>
              <w:t>AUC-ROC</w:t>
            </w:r>
          </w:p>
        </w:tc>
      </w:tr>
      <w:tr>
        <w:tc>
          <w:tcPr>
            <w:tcW w:type="dxa" w:w="1134"/>
            <w:shd w:val="clear" w:color="auto" w:fill="F6E3E6"/>
          </w:tcPr>
          <w:p>
            <w:pPr>
              <w:spacing w:after="20" w:line="240" w:lineRule="auto"/>
              <w:jc w:val="left"/>
            </w:pPr>
            <w:r/>
            <w:r>
              <w:rPr>
                <w:b/>
                <w:sz w:val="17"/>
              </w:rPr>
              <w:t>AdaBoost</w:t>
            </w:r>
          </w:p>
        </w:tc>
        <w:tc>
          <w:tcPr>
            <w:tcW w:type="dxa" w:w="1134"/>
            <w:shd w:val="clear" w:color="auto" w:fill="F6E3E6"/>
          </w:tcPr>
          <w:p>
            <w:pPr>
              <w:spacing w:after="20" w:line="240" w:lineRule="auto"/>
              <w:jc w:val="center"/>
            </w:pPr>
            <w:r/>
            <w:r>
              <w:rPr>
                <w:b/>
                <w:sz w:val="17"/>
              </w:rPr>
              <w:t>0,9510 ± 0,0084</w:t>
            </w:r>
          </w:p>
        </w:tc>
        <w:tc>
          <w:tcPr>
            <w:tcW w:type="dxa" w:w="1134"/>
            <w:shd w:val="clear" w:color="auto" w:fill="F6E3E6"/>
          </w:tcPr>
          <w:p>
            <w:pPr>
              <w:spacing w:after="20" w:line="240" w:lineRule="auto"/>
              <w:jc w:val="center"/>
            </w:pPr>
            <w:r/>
            <w:r>
              <w:rPr>
                <w:b/>
                <w:sz w:val="17"/>
              </w:rPr>
              <w:t>0,879</w:t>
            </w:r>
          </w:p>
        </w:tc>
        <w:tc>
          <w:tcPr>
            <w:tcW w:type="dxa" w:w="1134"/>
            <w:shd w:val="clear" w:color="auto" w:fill="F6E3E6"/>
          </w:tcPr>
          <w:p>
            <w:pPr>
              <w:spacing w:after="20" w:line="240" w:lineRule="auto"/>
              <w:jc w:val="center"/>
            </w:pPr>
            <w:r/>
            <w:r>
              <w:rPr>
                <w:b/>
                <w:sz w:val="17"/>
              </w:rPr>
              <w:t>0,946</w:t>
            </w:r>
          </w:p>
        </w:tc>
        <w:tc>
          <w:tcPr>
            <w:tcW w:type="dxa" w:w="1134"/>
            <w:shd w:val="clear" w:color="auto" w:fill="F6E3E6"/>
          </w:tcPr>
          <w:p>
            <w:pPr>
              <w:spacing w:after="20" w:line="240" w:lineRule="auto"/>
              <w:jc w:val="center"/>
            </w:pPr>
            <w:r/>
            <w:r>
              <w:rPr>
                <w:b/>
                <w:sz w:val="17"/>
              </w:rPr>
              <w:t>0,905</w:t>
            </w:r>
          </w:p>
        </w:tc>
        <w:tc>
          <w:tcPr>
            <w:tcW w:type="dxa" w:w="1134"/>
            <w:shd w:val="clear" w:color="auto" w:fill="F6E3E6"/>
          </w:tcPr>
          <w:p>
            <w:pPr>
              <w:spacing w:after="20" w:line="240" w:lineRule="auto"/>
              <w:jc w:val="center"/>
            </w:pPr>
            <w:r/>
            <w:r>
              <w:rPr>
                <w:b/>
                <w:sz w:val="17"/>
              </w:rPr>
              <w:t>0,821</w:t>
            </w:r>
          </w:p>
        </w:tc>
        <w:tc>
          <w:tcPr>
            <w:tcW w:type="dxa" w:w="1134"/>
            <w:shd w:val="clear" w:color="auto" w:fill="F6E3E6"/>
          </w:tcPr>
          <w:p>
            <w:pPr>
              <w:spacing w:after="20" w:line="240" w:lineRule="auto"/>
              <w:jc w:val="center"/>
            </w:pPr>
            <w:r/>
            <w:r>
              <w:rPr>
                <w:b/>
                <w:sz w:val="17"/>
              </w:rPr>
              <w:t>0,861</w:t>
            </w:r>
          </w:p>
        </w:tc>
        <w:tc>
          <w:tcPr>
            <w:tcW w:type="dxa" w:w="1134"/>
            <w:shd w:val="clear" w:color="auto" w:fill="F6E3E6"/>
          </w:tcPr>
          <w:p>
            <w:pPr>
              <w:spacing w:after="20" w:line="240" w:lineRule="auto"/>
              <w:jc w:val="center"/>
            </w:pPr>
            <w:r/>
            <w:r>
              <w:rPr>
                <w:b/>
                <w:sz w:val="17"/>
              </w:rPr>
              <w:t>0,957</w:t>
            </w:r>
          </w:p>
        </w:tc>
      </w:tr>
      <w:tr>
        <w:tc>
          <w:tcPr>
            <w:tcW w:type="dxa" w:w="1134"/>
            <w:shd w:val="clear" w:color="auto" w:fill="F2F2F2"/>
          </w:tcPr>
          <w:p>
            <w:pPr>
              <w:spacing w:after="20" w:line="240" w:lineRule="auto"/>
              <w:jc w:val="left"/>
            </w:pPr>
            <w:r/>
            <w:r>
              <w:rPr>
                <w:sz w:val="17"/>
              </w:rPr>
              <w:t>Gradient Boosting</w:t>
            </w:r>
          </w:p>
        </w:tc>
        <w:tc>
          <w:tcPr>
            <w:tcW w:type="dxa" w:w="1134"/>
            <w:shd w:val="clear" w:color="auto" w:fill="F2F2F2"/>
          </w:tcPr>
          <w:p>
            <w:pPr>
              <w:spacing w:after="20" w:line="240" w:lineRule="auto"/>
              <w:jc w:val="center"/>
            </w:pPr>
            <w:r/>
            <w:r>
              <w:rPr>
                <w:sz w:val="17"/>
              </w:rPr>
              <w:t>0,9493 ± 0,0077</w:t>
            </w:r>
          </w:p>
        </w:tc>
        <w:tc>
          <w:tcPr>
            <w:tcW w:type="dxa" w:w="1134"/>
            <w:shd w:val="clear" w:color="auto" w:fill="F2F2F2"/>
          </w:tcPr>
          <w:p>
            <w:pPr>
              <w:spacing w:after="20" w:line="240" w:lineRule="auto"/>
              <w:jc w:val="center"/>
            </w:pPr>
            <w:r/>
            <w:r>
              <w:rPr>
                <w:sz w:val="17"/>
              </w:rPr>
              <w:t>0,874</w:t>
            </w:r>
          </w:p>
        </w:tc>
        <w:tc>
          <w:tcPr>
            <w:tcW w:type="dxa" w:w="1134"/>
            <w:shd w:val="clear" w:color="auto" w:fill="F2F2F2"/>
          </w:tcPr>
          <w:p>
            <w:pPr>
              <w:spacing w:after="20" w:line="240" w:lineRule="auto"/>
              <w:jc w:val="center"/>
            </w:pPr>
            <w:r/>
            <w:r>
              <w:rPr>
                <w:sz w:val="17"/>
              </w:rPr>
              <w:t>0,951</w:t>
            </w:r>
          </w:p>
        </w:tc>
        <w:tc>
          <w:tcPr>
            <w:tcW w:type="dxa" w:w="1134"/>
            <w:shd w:val="clear" w:color="auto" w:fill="F2F2F2"/>
          </w:tcPr>
          <w:p>
            <w:pPr>
              <w:spacing w:after="20" w:line="240" w:lineRule="auto"/>
              <w:jc w:val="center"/>
            </w:pPr>
            <w:r/>
            <w:r>
              <w:rPr>
                <w:sz w:val="17"/>
              </w:rPr>
              <w:t>0,932</w:t>
            </w:r>
          </w:p>
        </w:tc>
        <w:tc>
          <w:tcPr>
            <w:tcW w:type="dxa" w:w="1134"/>
            <w:shd w:val="clear" w:color="auto" w:fill="F2F2F2"/>
          </w:tcPr>
          <w:p>
            <w:pPr>
              <w:spacing w:after="20" w:line="240" w:lineRule="auto"/>
              <w:jc w:val="center"/>
            </w:pPr>
            <w:r/>
            <w:r>
              <w:rPr>
                <w:sz w:val="17"/>
              </w:rPr>
              <w:t>0,821</w:t>
            </w:r>
          </w:p>
        </w:tc>
        <w:tc>
          <w:tcPr>
            <w:tcW w:type="dxa" w:w="1134"/>
            <w:shd w:val="clear" w:color="auto" w:fill="F2F2F2"/>
          </w:tcPr>
          <w:p>
            <w:pPr>
              <w:spacing w:after="20" w:line="240" w:lineRule="auto"/>
              <w:jc w:val="center"/>
            </w:pPr>
            <w:r/>
            <w:r>
              <w:rPr>
                <w:sz w:val="17"/>
              </w:rPr>
              <w:t>0,873</w:t>
            </w:r>
          </w:p>
        </w:tc>
        <w:tc>
          <w:tcPr>
            <w:tcW w:type="dxa" w:w="1134"/>
            <w:shd w:val="clear" w:color="auto" w:fill="F2F2F2"/>
          </w:tcPr>
          <w:p>
            <w:pPr>
              <w:spacing w:after="20" w:line="240" w:lineRule="auto"/>
              <w:jc w:val="center"/>
            </w:pPr>
            <w:r/>
            <w:r>
              <w:rPr>
                <w:sz w:val="17"/>
              </w:rPr>
              <w:t>0,964</w:t>
            </w:r>
          </w:p>
        </w:tc>
      </w:tr>
      <w:tr>
        <w:tc>
          <w:tcPr>
            <w:tcW w:type="dxa" w:w="1134"/>
          </w:tcPr>
          <w:p>
            <w:pPr>
              <w:spacing w:after="20" w:line="240" w:lineRule="auto"/>
              <w:jc w:val="left"/>
            </w:pPr>
            <w:r/>
            <w:r>
              <w:rPr>
                <w:sz w:val="17"/>
              </w:rPr>
              <w:t>Extra Trees</w:t>
            </w:r>
          </w:p>
        </w:tc>
        <w:tc>
          <w:tcPr>
            <w:tcW w:type="dxa" w:w="1134"/>
          </w:tcPr>
          <w:p>
            <w:pPr>
              <w:spacing w:after="20" w:line="240" w:lineRule="auto"/>
              <w:jc w:val="center"/>
            </w:pPr>
            <w:r/>
            <w:r>
              <w:rPr>
                <w:sz w:val="17"/>
              </w:rPr>
              <w:t>0,9463 ± 0,0077</w:t>
            </w:r>
          </w:p>
        </w:tc>
        <w:tc>
          <w:tcPr>
            <w:tcW w:type="dxa" w:w="1134"/>
          </w:tcPr>
          <w:p>
            <w:pPr>
              <w:spacing w:after="20" w:line="240" w:lineRule="auto"/>
              <w:jc w:val="center"/>
            </w:pPr>
            <w:r/>
            <w:r>
              <w:rPr>
                <w:sz w:val="17"/>
              </w:rPr>
              <w:t>0,869</w:t>
            </w:r>
          </w:p>
        </w:tc>
        <w:tc>
          <w:tcPr>
            <w:tcW w:type="dxa" w:w="1134"/>
          </w:tcPr>
          <w:p>
            <w:pPr>
              <w:spacing w:after="20" w:line="240" w:lineRule="auto"/>
              <w:jc w:val="center"/>
            </w:pPr>
            <w:r/>
            <w:r>
              <w:rPr>
                <w:sz w:val="17"/>
              </w:rPr>
              <w:t>0,958</w:t>
            </w:r>
          </w:p>
        </w:tc>
        <w:tc>
          <w:tcPr>
            <w:tcW w:type="dxa" w:w="1134"/>
          </w:tcPr>
          <w:p>
            <w:pPr>
              <w:spacing w:after="20" w:line="240" w:lineRule="auto"/>
              <w:jc w:val="center"/>
            </w:pPr>
            <w:r/>
            <w:r>
              <w:rPr>
                <w:sz w:val="17"/>
              </w:rPr>
              <w:t>0,929</w:t>
            </w:r>
          </w:p>
        </w:tc>
        <w:tc>
          <w:tcPr>
            <w:tcW w:type="dxa" w:w="1134"/>
          </w:tcPr>
          <w:p>
            <w:pPr>
              <w:spacing w:after="20" w:line="240" w:lineRule="auto"/>
              <w:jc w:val="center"/>
            </w:pPr>
            <w:r/>
            <w:r>
              <w:rPr>
                <w:sz w:val="17"/>
              </w:rPr>
              <w:t>0,861</w:t>
            </w:r>
          </w:p>
        </w:tc>
        <w:tc>
          <w:tcPr>
            <w:tcW w:type="dxa" w:w="1134"/>
          </w:tcPr>
          <w:p>
            <w:pPr>
              <w:spacing w:after="20" w:line="240" w:lineRule="auto"/>
              <w:jc w:val="center"/>
            </w:pPr>
            <w:r/>
            <w:r>
              <w:rPr>
                <w:sz w:val="17"/>
              </w:rPr>
              <w:t>0,893</w:t>
            </w:r>
          </w:p>
        </w:tc>
        <w:tc>
          <w:tcPr>
            <w:tcW w:type="dxa" w:w="1134"/>
          </w:tcPr>
          <w:p>
            <w:pPr>
              <w:spacing w:after="20" w:line="240" w:lineRule="auto"/>
              <w:jc w:val="center"/>
            </w:pPr>
            <w:r/>
            <w:r>
              <w:rPr>
                <w:sz w:val="17"/>
              </w:rPr>
              <w:t>0,977</w:t>
            </w:r>
          </w:p>
        </w:tc>
      </w:tr>
      <w:tr>
        <w:tc>
          <w:tcPr>
            <w:tcW w:type="dxa" w:w="1134"/>
            <w:shd w:val="clear" w:color="auto" w:fill="F2F2F2"/>
          </w:tcPr>
          <w:p>
            <w:pPr>
              <w:spacing w:after="20" w:line="240" w:lineRule="auto"/>
              <w:jc w:val="left"/>
            </w:pPr>
            <w:r/>
            <w:r>
              <w:rPr>
                <w:sz w:val="17"/>
              </w:rPr>
              <w:t>Random Forest</w:t>
            </w:r>
          </w:p>
        </w:tc>
        <w:tc>
          <w:tcPr>
            <w:tcW w:type="dxa" w:w="1134"/>
            <w:shd w:val="clear" w:color="auto" w:fill="F2F2F2"/>
          </w:tcPr>
          <w:p>
            <w:pPr>
              <w:spacing w:after="20" w:line="240" w:lineRule="auto"/>
              <w:jc w:val="center"/>
            </w:pPr>
            <w:r/>
            <w:r>
              <w:rPr>
                <w:sz w:val="17"/>
              </w:rPr>
              <w:t>0,9429 ± 0,0084</w:t>
            </w:r>
          </w:p>
        </w:tc>
        <w:tc>
          <w:tcPr>
            <w:tcW w:type="dxa" w:w="1134"/>
            <w:shd w:val="clear" w:color="auto" w:fill="F2F2F2"/>
          </w:tcPr>
          <w:p>
            <w:pPr>
              <w:spacing w:after="20" w:line="240" w:lineRule="auto"/>
              <w:jc w:val="center"/>
            </w:pPr>
            <w:r/>
            <w:r>
              <w:rPr>
                <w:sz w:val="17"/>
              </w:rPr>
              <w:t>0,861</w:t>
            </w:r>
          </w:p>
        </w:tc>
        <w:tc>
          <w:tcPr>
            <w:tcW w:type="dxa" w:w="1134"/>
            <w:shd w:val="clear" w:color="auto" w:fill="F2F2F2"/>
          </w:tcPr>
          <w:p>
            <w:pPr>
              <w:spacing w:after="20" w:line="240" w:lineRule="auto"/>
              <w:jc w:val="center"/>
            </w:pPr>
            <w:r/>
            <w:r>
              <w:rPr>
                <w:sz w:val="17"/>
              </w:rPr>
              <w:t>0,950</w:t>
            </w:r>
          </w:p>
        </w:tc>
        <w:tc>
          <w:tcPr>
            <w:tcW w:type="dxa" w:w="1134"/>
            <w:shd w:val="clear" w:color="auto" w:fill="F2F2F2"/>
          </w:tcPr>
          <w:p>
            <w:pPr>
              <w:spacing w:after="20" w:line="240" w:lineRule="auto"/>
              <w:jc w:val="center"/>
            </w:pPr>
            <w:r/>
            <w:r>
              <w:rPr>
                <w:sz w:val="17"/>
              </w:rPr>
              <w:t>0,913</w:t>
            </w:r>
          </w:p>
        </w:tc>
        <w:tc>
          <w:tcPr>
            <w:tcW w:type="dxa" w:w="1134"/>
            <w:shd w:val="clear" w:color="auto" w:fill="F2F2F2"/>
          </w:tcPr>
          <w:p>
            <w:pPr>
              <w:spacing w:after="20" w:line="240" w:lineRule="auto"/>
              <w:jc w:val="center"/>
            </w:pPr>
            <w:r/>
            <w:r>
              <w:rPr>
                <w:sz w:val="17"/>
              </w:rPr>
              <w:t>0,834</w:t>
            </w:r>
          </w:p>
        </w:tc>
        <w:tc>
          <w:tcPr>
            <w:tcW w:type="dxa" w:w="1134"/>
            <w:shd w:val="clear" w:color="auto" w:fill="F2F2F2"/>
          </w:tcPr>
          <w:p>
            <w:pPr>
              <w:spacing w:after="20" w:line="240" w:lineRule="auto"/>
              <w:jc w:val="center"/>
            </w:pPr>
            <w:r/>
            <w:r>
              <w:rPr>
                <w:sz w:val="17"/>
              </w:rPr>
              <w:t>0,872</w:t>
            </w:r>
          </w:p>
        </w:tc>
        <w:tc>
          <w:tcPr>
            <w:tcW w:type="dxa" w:w="1134"/>
            <w:shd w:val="clear" w:color="auto" w:fill="F2F2F2"/>
          </w:tcPr>
          <w:p>
            <w:pPr>
              <w:spacing w:after="20" w:line="240" w:lineRule="auto"/>
              <w:jc w:val="center"/>
            </w:pPr>
            <w:r/>
            <w:r>
              <w:rPr>
                <w:sz w:val="17"/>
              </w:rPr>
              <w:t>0,971</w:t>
            </w:r>
          </w:p>
        </w:tc>
      </w:tr>
      <w:tr>
        <w:tc>
          <w:tcPr>
            <w:tcW w:type="dxa" w:w="1134"/>
          </w:tcPr>
          <w:p>
            <w:pPr>
              <w:spacing w:after="20" w:line="240" w:lineRule="auto"/>
              <w:jc w:val="left"/>
            </w:pPr>
            <w:r/>
            <w:r>
              <w:rPr>
                <w:sz w:val="17"/>
              </w:rPr>
              <w:t>Bagging</w:t>
            </w:r>
          </w:p>
        </w:tc>
        <w:tc>
          <w:tcPr>
            <w:tcW w:type="dxa" w:w="1134"/>
          </w:tcPr>
          <w:p>
            <w:pPr>
              <w:spacing w:after="20" w:line="240" w:lineRule="auto"/>
              <w:jc w:val="center"/>
            </w:pPr>
            <w:r/>
            <w:r>
              <w:rPr>
                <w:sz w:val="17"/>
              </w:rPr>
              <w:t>0,9415 ± 0,0081</w:t>
            </w:r>
          </w:p>
        </w:tc>
        <w:tc>
          <w:tcPr>
            <w:tcW w:type="dxa" w:w="1134"/>
          </w:tcPr>
          <w:p>
            <w:pPr>
              <w:spacing w:after="20" w:line="240" w:lineRule="auto"/>
              <w:jc w:val="center"/>
            </w:pPr>
            <w:r/>
            <w:r>
              <w:rPr>
                <w:sz w:val="17"/>
              </w:rPr>
              <w:t>0,858</w:t>
            </w:r>
          </w:p>
        </w:tc>
        <w:tc>
          <w:tcPr>
            <w:tcW w:type="dxa" w:w="1134"/>
          </w:tcPr>
          <w:p>
            <w:pPr>
              <w:spacing w:after="20" w:line="240" w:lineRule="auto"/>
              <w:jc w:val="center"/>
            </w:pPr>
            <w:r/>
            <w:r>
              <w:rPr>
                <w:sz w:val="17"/>
              </w:rPr>
              <w:t>0,959</w:t>
            </w:r>
          </w:p>
        </w:tc>
        <w:tc>
          <w:tcPr>
            <w:tcW w:type="dxa" w:w="1134"/>
          </w:tcPr>
          <w:p>
            <w:pPr>
              <w:spacing w:after="20" w:line="240" w:lineRule="auto"/>
              <w:jc w:val="center"/>
            </w:pPr>
            <w:r/>
            <w:r>
              <w:rPr>
                <w:sz w:val="17"/>
              </w:rPr>
              <w:t>0,942</w:t>
            </w:r>
          </w:p>
        </w:tc>
        <w:tc>
          <w:tcPr>
            <w:tcW w:type="dxa" w:w="1134"/>
          </w:tcPr>
          <w:p>
            <w:pPr>
              <w:spacing w:after="20" w:line="240" w:lineRule="auto"/>
              <w:jc w:val="center"/>
            </w:pPr>
            <w:r/>
            <w:r>
              <w:rPr>
                <w:sz w:val="17"/>
              </w:rPr>
              <w:t>0,854</w:t>
            </w:r>
          </w:p>
        </w:tc>
        <w:tc>
          <w:tcPr>
            <w:tcW w:type="dxa" w:w="1134"/>
          </w:tcPr>
          <w:p>
            <w:pPr>
              <w:spacing w:after="20" w:line="240" w:lineRule="auto"/>
              <w:jc w:val="center"/>
            </w:pPr>
            <w:r/>
            <w:r>
              <w:rPr>
                <w:sz w:val="17"/>
              </w:rPr>
              <w:t>0,896</w:t>
            </w:r>
          </w:p>
        </w:tc>
        <w:tc>
          <w:tcPr>
            <w:tcW w:type="dxa" w:w="1134"/>
          </w:tcPr>
          <w:p>
            <w:pPr>
              <w:spacing w:after="20" w:line="240" w:lineRule="auto"/>
              <w:jc w:val="center"/>
            </w:pPr>
            <w:r/>
            <w:r>
              <w:rPr>
                <w:sz w:val="17"/>
              </w:rPr>
              <w:t>0,959</w:t>
            </w:r>
          </w:p>
        </w:tc>
      </w:tr>
      <w:tr>
        <w:tc>
          <w:tcPr>
            <w:tcW w:type="dxa" w:w="1134"/>
            <w:shd w:val="clear" w:color="auto" w:fill="F2F2F2"/>
          </w:tcPr>
          <w:p>
            <w:pPr>
              <w:spacing w:after="20" w:line="240" w:lineRule="auto"/>
              <w:jc w:val="left"/>
            </w:pPr>
            <w:r/>
            <w:r>
              <w:rPr>
                <w:sz w:val="17"/>
              </w:rPr>
              <w:t>Árvore de Decisão</w:t>
            </w:r>
          </w:p>
        </w:tc>
        <w:tc>
          <w:tcPr>
            <w:tcW w:type="dxa" w:w="1134"/>
            <w:shd w:val="clear" w:color="auto" w:fill="F2F2F2"/>
          </w:tcPr>
          <w:p>
            <w:pPr>
              <w:spacing w:after="20" w:line="240" w:lineRule="auto"/>
              <w:jc w:val="center"/>
            </w:pPr>
            <w:r/>
            <w:r>
              <w:rPr>
                <w:sz w:val="17"/>
              </w:rPr>
              <w:t>0,9194 ± 0,0051</w:t>
            </w:r>
          </w:p>
        </w:tc>
        <w:tc>
          <w:tcPr>
            <w:tcW w:type="dxa" w:w="1134"/>
            <w:shd w:val="clear" w:color="auto" w:fill="F2F2F2"/>
          </w:tcPr>
          <w:p>
            <w:pPr>
              <w:spacing w:after="20" w:line="240" w:lineRule="auto"/>
              <w:jc w:val="center"/>
            </w:pPr>
            <w:r/>
            <w:r>
              <w:rPr>
                <w:sz w:val="17"/>
              </w:rPr>
              <w:t>0,810</w:t>
            </w:r>
          </w:p>
        </w:tc>
        <w:tc>
          <w:tcPr>
            <w:tcW w:type="dxa" w:w="1134"/>
            <w:shd w:val="clear" w:color="auto" w:fill="F2F2F2"/>
          </w:tcPr>
          <w:p>
            <w:pPr>
              <w:spacing w:after="20" w:line="240" w:lineRule="auto"/>
              <w:jc w:val="center"/>
            </w:pPr>
            <w:r/>
            <w:r>
              <w:rPr>
                <w:sz w:val="17"/>
              </w:rPr>
              <w:t>0,942</w:t>
            </w:r>
          </w:p>
        </w:tc>
        <w:tc>
          <w:tcPr>
            <w:tcW w:type="dxa" w:w="1134"/>
            <w:shd w:val="clear" w:color="auto" w:fill="F2F2F2"/>
          </w:tcPr>
          <w:p>
            <w:pPr>
              <w:spacing w:after="20" w:line="240" w:lineRule="auto"/>
              <w:jc w:val="center"/>
            </w:pPr>
            <w:r/>
            <w:r>
              <w:rPr>
                <w:sz w:val="17"/>
              </w:rPr>
              <w:t>0,855</w:t>
            </w:r>
          </w:p>
        </w:tc>
        <w:tc>
          <w:tcPr>
            <w:tcW w:type="dxa" w:w="1134"/>
            <w:shd w:val="clear" w:color="auto" w:fill="F2F2F2"/>
          </w:tcPr>
          <w:p>
            <w:pPr>
              <w:spacing w:after="20" w:line="240" w:lineRule="auto"/>
              <w:jc w:val="center"/>
            </w:pPr>
            <w:r/>
            <w:r>
              <w:rPr>
                <w:sz w:val="17"/>
              </w:rPr>
              <w:t>0,861</w:t>
            </w:r>
          </w:p>
        </w:tc>
        <w:tc>
          <w:tcPr>
            <w:tcW w:type="dxa" w:w="1134"/>
            <w:shd w:val="clear" w:color="auto" w:fill="F2F2F2"/>
          </w:tcPr>
          <w:p>
            <w:pPr>
              <w:spacing w:after="20" w:line="240" w:lineRule="auto"/>
              <w:jc w:val="center"/>
            </w:pPr>
            <w:r/>
            <w:r>
              <w:rPr>
                <w:sz w:val="17"/>
              </w:rPr>
              <w:t>0,858</w:t>
            </w:r>
          </w:p>
        </w:tc>
        <w:tc>
          <w:tcPr>
            <w:tcW w:type="dxa" w:w="1134"/>
            <w:shd w:val="clear" w:color="auto" w:fill="F2F2F2"/>
          </w:tcPr>
          <w:p>
            <w:pPr>
              <w:spacing w:after="20" w:line="240" w:lineRule="auto"/>
              <w:jc w:val="center"/>
            </w:pPr>
            <w:r/>
            <w:r>
              <w:rPr>
                <w:sz w:val="17"/>
              </w:rPr>
              <w:t>0,912</w:t>
            </w:r>
          </w:p>
        </w:tc>
      </w:tr>
      <w:tr>
        <w:tc>
          <w:tcPr>
            <w:tcW w:type="dxa" w:w="1134"/>
          </w:tcPr>
          <w:p>
            <w:pPr>
              <w:spacing w:after="20" w:line="240" w:lineRule="auto"/>
              <w:jc w:val="left"/>
            </w:pPr>
            <w:r/>
            <w:r>
              <w:rPr>
                <w:sz w:val="17"/>
              </w:rPr>
              <w:t>KNN</w:t>
            </w:r>
          </w:p>
        </w:tc>
        <w:tc>
          <w:tcPr>
            <w:tcW w:type="dxa" w:w="1134"/>
          </w:tcPr>
          <w:p>
            <w:pPr>
              <w:spacing w:after="20" w:line="240" w:lineRule="auto"/>
              <w:jc w:val="center"/>
            </w:pPr>
            <w:r/>
            <w:r>
              <w:rPr>
                <w:sz w:val="17"/>
              </w:rPr>
              <w:t>0,8704 ± 0,0205</w:t>
            </w:r>
          </w:p>
        </w:tc>
        <w:tc>
          <w:tcPr>
            <w:tcW w:type="dxa" w:w="1134"/>
          </w:tcPr>
          <w:p>
            <w:pPr>
              <w:spacing w:after="20" w:line="240" w:lineRule="auto"/>
              <w:jc w:val="center"/>
            </w:pPr>
            <w:r/>
            <w:r>
              <w:rPr>
                <w:sz w:val="17"/>
              </w:rPr>
              <w:t>0,652</w:t>
            </w:r>
          </w:p>
        </w:tc>
        <w:tc>
          <w:tcPr>
            <w:tcW w:type="dxa" w:w="1134"/>
          </w:tcPr>
          <w:p>
            <w:pPr>
              <w:spacing w:after="20" w:line="240" w:lineRule="auto"/>
              <w:jc w:val="center"/>
            </w:pPr>
            <w:r/>
            <w:r>
              <w:rPr>
                <w:sz w:val="17"/>
              </w:rPr>
              <w:t>0,887</w:t>
            </w:r>
          </w:p>
        </w:tc>
        <w:tc>
          <w:tcPr>
            <w:tcW w:type="dxa" w:w="1134"/>
          </w:tcPr>
          <w:p>
            <w:pPr>
              <w:spacing w:after="20" w:line="240" w:lineRule="auto"/>
              <w:jc w:val="center"/>
            </w:pPr>
            <w:r/>
            <w:r>
              <w:rPr>
                <w:sz w:val="17"/>
              </w:rPr>
              <w:t>0,793</w:t>
            </w:r>
          </w:p>
        </w:tc>
        <w:tc>
          <w:tcPr>
            <w:tcW w:type="dxa" w:w="1134"/>
          </w:tcPr>
          <w:p>
            <w:pPr>
              <w:spacing w:after="20" w:line="240" w:lineRule="auto"/>
              <w:jc w:val="center"/>
            </w:pPr>
            <w:r/>
            <w:r>
              <w:rPr>
                <w:sz w:val="17"/>
              </w:rPr>
              <w:t>0,609</w:t>
            </w:r>
          </w:p>
        </w:tc>
        <w:tc>
          <w:tcPr>
            <w:tcW w:type="dxa" w:w="1134"/>
          </w:tcPr>
          <w:p>
            <w:pPr>
              <w:spacing w:after="20" w:line="240" w:lineRule="auto"/>
              <w:jc w:val="center"/>
            </w:pPr>
            <w:r/>
            <w:r>
              <w:rPr>
                <w:sz w:val="17"/>
              </w:rPr>
              <w:t>0,689</w:t>
            </w:r>
          </w:p>
        </w:tc>
        <w:tc>
          <w:tcPr>
            <w:tcW w:type="dxa" w:w="1134"/>
          </w:tcPr>
          <w:p>
            <w:pPr>
              <w:spacing w:after="20" w:line="240" w:lineRule="auto"/>
              <w:jc w:val="center"/>
            </w:pPr>
            <w:r/>
            <w:r>
              <w:rPr>
                <w:sz w:val="17"/>
              </w:rPr>
              <w:t>0,906</w:t>
            </w:r>
          </w:p>
        </w:tc>
      </w:tr>
      <w:tr>
        <w:tc>
          <w:tcPr>
            <w:tcW w:type="dxa" w:w="1134"/>
            <w:shd w:val="clear" w:color="auto" w:fill="F2F2F2"/>
          </w:tcPr>
          <w:p>
            <w:pPr>
              <w:spacing w:after="20" w:line="240" w:lineRule="auto"/>
              <w:jc w:val="left"/>
            </w:pPr>
            <w:r/>
            <w:r>
              <w:rPr>
                <w:sz w:val="17"/>
              </w:rPr>
              <w:t>SVM</w:t>
            </w:r>
          </w:p>
        </w:tc>
        <w:tc>
          <w:tcPr>
            <w:tcW w:type="dxa" w:w="1134"/>
            <w:shd w:val="clear" w:color="auto" w:fill="F2F2F2"/>
          </w:tcPr>
          <w:p>
            <w:pPr>
              <w:spacing w:after="20" w:line="240" w:lineRule="auto"/>
              <w:jc w:val="center"/>
            </w:pPr>
            <w:r/>
            <w:r>
              <w:rPr>
                <w:sz w:val="17"/>
              </w:rPr>
              <w:t>0,8656 ± 0,0158</w:t>
            </w:r>
          </w:p>
        </w:tc>
        <w:tc>
          <w:tcPr>
            <w:tcW w:type="dxa" w:w="1134"/>
            <w:shd w:val="clear" w:color="auto" w:fill="F2F2F2"/>
          </w:tcPr>
          <w:p>
            <w:pPr>
              <w:spacing w:after="20" w:line="240" w:lineRule="auto"/>
              <w:jc w:val="center"/>
            </w:pPr>
            <w:r/>
            <w:r>
              <w:rPr>
                <w:sz w:val="17"/>
              </w:rPr>
              <w:t>0,656</w:t>
            </w:r>
          </w:p>
        </w:tc>
        <w:tc>
          <w:tcPr>
            <w:tcW w:type="dxa" w:w="1134"/>
            <w:shd w:val="clear" w:color="auto" w:fill="F2F2F2"/>
          </w:tcPr>
          <w:p>
            <w:pPr>
              <w:spacing w:after="20" w:line="240" w:lineRule="auto"/>
              <w:jc w:val="center"/>
            </w:pPr>
            <w:r/>
            <w:r>
              <w:rPr>
                <w:sz w:val="17"/>
              </w:rPr>
              <w:t>0,879</w:t>
            </w:r>
          </w:p>
        </w:tc>
        <w:tc>
          <w:tcPr>
            <w:tcW w:type="dxa" w:w="1134"/>
            <w:shd w:val="clear" w:color="auto" w:fill="F2F2F2"/>
          </w:tcPr>
          <w:p>
            <w:pPr>
              <w:spacing w:after="20" w:line="240" w:lineRule="auto"/>
              <w:jc w:val="center"/>
            </w:pPr>
            <w:r/>
            <w:r>
              <w:rPr>
                <w:sz w:val="17"/>
              </w:rPr>
              <w:t>0,738</w:t>
            </w:r>
          </w:p>
        </w:tc>
        <w:tc>
          <w:tcPr>
            <w:tcW w:type="dxa" w:w="1134"/>
            <w:shd w:val="clear" w:color="auto" w:fill="F2F2F2"/>
          </w:tcPr>
          <w:p>
            <w:pPr>
              <w:spacing w:after="20" w:line="240" w:lineRule="auto"/>
              <w:jc w:val="center"/>
            </w:pPr>
            <w:r/>
            <w:r>
              <w:rPr>
                <w:sz w:val="17"/>
              </w:rPr>
              <w:t>0,636</w:t>
            </w:r>
          </w:p>
        </w:tc>
        <w:tc>
          <w:tcPr>
            <w:tcW w:type="dxa" w:w="1134"/>
            <w:shd w:val="clear" w:color="auto" w:fill="F2F2F2"/>
          </w:tcPr>
          <w:p>
            <w:pPr>
              <w:spacing w:after="20" w:line="240" w:lineRule="auto"/>
              <w:jc w:val="center"/>
            </w:pPr>
            <w:r/>
            <w:r>
              <w:rPr>
                <w:sz w:val="17"/>
              </w:rPr>
              <w:t>0,683</w:t>
            </w:r>
          </w:p>
        </w:tc>
        <w:tc>
          <w:tcPr>
            <w:tcW w:type="dxa" w:w="1134"/>
            <w:shd w:val="clear" w:color="auto" w:fill="F2F2F2"/>
          </w:tcPr>
          <w:p>
            <w:pPr>
              <w:spacing w:after="20" w:line="240" w:lineRule="auto"/>
              <w:jc w:val="center"/>
            </w:pPr>
            <w:r/>
            <w:r>
              <w:rPr>
                <w:sz w:val="17"/>
              </w:rPr>
              <w:t>0,868</w:t>
            </w:r>
          </w:p>
        </w:tc>
      </w:tr>
      <w:tr>
        <w:tc>
          <w:tcPr>
            <w:tcW w:type="dxa" w:w="1134"/>
          </w:tcPr>
          <w:p>
            <w:pPr>
              <w:spacing w:after="20" w:line="240" w:lineRule="auto"/>
              <w:jc w:val="left"/>
            </w:pPr>
            <w:r/>
            <w:r>
              <w:rPr>
                <w:sz w:val="17"/>
              </w:rPr>
              <w:t>MLP</w:t>
            </w:r>
          </w:p>
        </w:tc>
        <w:tc>
          <w:tcPr>
            <w:tcW w:type="dxa" w:w="1134"/>
          </w:tcPr>
          <w:p>
            <w:pPr>
              <w:spacing w:after="20" w:line="240" w:lineRule="auto"/>
              <w:jc w:val="center"/>
            </w:pPr>
            <w:r/>
            <w:r>
              <w:rPr>
                <w:sz w:val="17"/>
              </w:rPr>
              <w:t>0,8639 ± 0,0182</w:t>
            </w:r>
          </w:p>
        </w:tc>
        <w:tc>
          <w:tcPr>
            <w:tcW w:type="dxa" w:w="1134"/>
          </w:tcPr>
          <w:p>
            <w:pPr>
              <w:spacing w:after="20" w:line="240" w:lineRule="auto"/>
              <w:jc w:val="center"/>
            </w:pPr>
            <w:r/>
            <w:r>
              <w:rPr>
                <w:sz w:val="17"/>
              </w:rPr>
              <w:t>0,693</w:t>
            </w:r>
          </w:p>
        </w:tc>
        <w:tc>
          <w:tcPr>
            <w:tcW w:type="dxa" w:w="1134"/>
          </w:tcPr>
          <w:p>
            <w:pPr>
              <w:spacing w:after="20" w:line="240" w:lineRule="auto"/>
              <w:jc w:val="center"/>
            </w:pPr>
            <w:r/>
            <w:r>
              <w:rPr>
                <w:sz w:val="17"/>
              </w:rPr>
              <w:t>0,789</w:t>
            </w:r>
          </w:p>
        </w:tc>
        <w:tc>
          <w:tcPr>
            <w:tcW w:type="dxa" w:w="1134"/>
          </w:tcPr>
          <w:p>
            <w:pPr>
              <w:spacing w:after="20" w:line="240" w:lineRule="auto"/>
              <w:jc w:val="center"/>
            </w:pPr>
            <w:r/>
            <w:r>
              <w:rPr>
                <w:sz w:val="17"/>
              </w:rPr>
              <w:t>0,491</w:t>
            </w:r>
          </w:p>
        </w:tc>
        <w:tc>
          <w:tcPr>
            <w:tcW w:type="dxa" w:w="1134"/>
          </w:tcPr>
          <w:p>
            <w:pPr>
              <w:spacing w:after="20" w:line="240" w:lineRule="auto"/>
              <w:jc w:val="center"/>
            </w:pPr>
            <w:r/>
            <w:r>
              <w:rPr>
                <w:sz w:val="17"/>
              </w:rPr>
              <w:t>0,748</w:t>
            </w:r>
          </w:p>
        </w:tc>
        <w:tc>
          <w:tcPr>
            <w:tcW w:type="dxa" w:w="1134"/>
          </w:tcPr>
          <w:p>
            <w:pPr>
              <w:spacing w:after="20" w:line="240" w:lineRule="auto"/>
              <w:jc w:val="center"/>
            </w:pPr>
            <w:r/>
            <w:r>
              <w:rPr>
                <w:sz w:val="17"/>
              </w:rPr>
              <w:t>0,593</w:t>
            </w:r>
          </w:p>
        </w:tc>
        <w:tc>
          <w:tcPr>
            <w:tcW w:type="dxa" w:w="1134"/>
          </w:tcPr>
          <w:p>
            <w:pPr>
              <w:spacing w:after="20" w:line="240" w:lineRule="auto"/>
              <w:jc w:val="center"/>
            </w:pPr>
            <w:r/>
            <w:r>
              <w:rPr>
                <w:sz w:val="17"/>
              </w:rPr>
              <w:t>0,846</w:t>
            </w:r>
          </w:p>
        </w:tc>
      </w:tr>
      <w:tr>
        <w:tc>
          <w:tcPr>
            <w:tcW w:type="dxa" w:w="1134"/>
            <w:shd w:val="clear" w:color="auto" w:fill="F2F2F2"/>
          </w:tcPr>
          <w:p>
            <w:pPr>
              <w:spacing w:after="20" w:line="240" w:lineRule="auto"/>
              <w:jc w:val="left"/>
            </w:pPr>
            <w:r/>
            <w:r>
              <w:rPr>
                <w:sz w:val="17"/>
              </w:rPr>
              <w:t>Regressão Logística</w:t>
            </w:r>
          </w:p>
        </w:tc>
        <w:tc>
          <w:tcPr>
            <w:tcW w:type="dxa" w:w="1134"/>
            <w:shd w:val="clear" w:color="auto" w:fill="F2F2F2"/>
          </w:tcPr>
          <w:p>
            <w:pPr>
              <w:spacing w:after="20" w:line="240" w:lineRule="auto"/>
              <w:jc w:val="center"/>
            </w:pPr>
            <w:r/>
            <w:r>
              <w:rPr>
                <w:sz w:val="17"/>
              </w:rPr>
              <w:t>0,8133 ± 0,0072</w:t>
            </w:r>
          </w:p>
        </w:tc>
        <w:tc>
          <w:tcPr>
            <w:tcW w:type="dxa" w:w="1134"/>
            <w:shd w:val="clear" w:color="auto" w:fill="F2F2F2"/>
          </w:tcPr>
          <w:p>
            <w:pPr>
              <w:spacing w:after="20" w:line="240" w:lineRule="auto"/>
              <w:jc w:val="center"/>
            </w:pPr>
            <w:r/>
            <w:r>
              <w:rPr>
                <w:sz w:val="17"/>
              </w:rPr>
              <w:t>0,284</w:t>
            </w:r>
          </w:p>
        </w:tc>
        <w:tc>
          <w:tcPr>
            <w:tcW w:type="dxa" w:w="1134"/>
            <w:shd w:val="clear" w:color="auto" w:fill="F2F2F2"/>
          </w:tcPr>
          <w:p>
            <w:pPr>
              <w:spacing w:after="20" w:line="240" w:lineRule="auto"/>
              <w:jc w:val="center"/>
            </w:pPr>
            <w:r/>
            <w:r>
              <w:rPr>
                <w:sz w:val="17"/>
              </w:rPr>
              <w:t>0,806</w:t>
            </w:r>
          </w:p>
        </w:tc>
        <w:tc>
          <w:tcPr>
            <w:tcW w:type="dxa" w:w="1134"/>
            <w:shd w:val="clear" w:color="auto" w:fill="F2F2F2"/>
          </w:tcPr>
          <w:p>
            <w:pPr>
              <w:spacing w:after="20" w:line="240" w:lineRule="auto"/>
              <w:jc w:val="center"/>
            </w:pPr>
            <w:r/>
            <w:r>
              <w:rPr>
                <w:sz w:val="17"/>
              </w:rPr>
              <w:t>0,600</w:t>
            </w:r>
          </w:p>
        </w:tc>
        <w:tc>
          <w:tcPr>
            <w:tcW w:type="dxa" w:w="1134"/>
            <w:shd w:val="clear" w:color="auto" w:fill="F2F2F2"/>
          </w:tcPr>
          <w:p>
            <w:pPr>
              <w:spacing w:after="20" w:line="240" w:lineRule="auto"/>
              <w:jc w:val="center"/>
            </w:pPr>
            <w:r/>
            <w:r>
              <w:rPr>
                <w:sz w:val="17"/>
              </w:rPr>
              <w:t>0,159</w:t>
            </w:r>
          </w:p>
        </w:tc>
        <w:tc>
          <w:tcPr>
            <w:tcW w:type="dxa" w:w="1134"/>
            <w:shd w:val="clear" w:color="auto" w:fill="F2F2F2"/>
          </w:tcPr>
          <w:p>
            <w:pPr>
              <w:spacing w:after="20" w:line="240" w:lineRule="auto"/>
              <w:jc w:val="center"/>
            </w:pPr>
            <w:r/>
            <w:r>
              <w:rPr>
                <w:sz w:val="17"/>
              </w:rPr>
              <w:t>0,251</w:t>
            </w:r>
          </w:p>
        </w:tc>
        <w:tc>
          <w:tcPr>
            <w:tcW w:type="dxa" w:w="1134"/>
            <w:shd w:val="clear" w:color="auto" w:fill="F2F2F2"/>
          </w:tcPr>
          <w:p>
            <w:pPr>
              <w:spacing w:after="20" w:line="240" w:lineRule="auto"/>
              <w:jc w:val="center"/>
            </w:pPr>
            <w:r/>
            <w:r>
              <w:rPr>
                <w:sz w:val="17"/>
              </w:rPr>
              <w:t>0,762</w:t>
            </w:r>
          </w:p>
        </w:tc>
      </w:tr>
      <w:tr>
        <w:tc>
          <w:tcPr>
            <w:tcW w:type="dxa" w:w="1134"/>
          </w:tcPr>
          <w:p>
            <w:pPr>
              <w:spacing w:after="20" w:line="240" w:lineRule="auto"/>
              <w:jc w:val="left"/>
            </w:pPr>
            <w:r/>
            <w:r>
              <w:rPr>
                <w:sz w:val="17"/>
              </w:rPr>
              <w:t>K-Means (classificador)</w:t>
            </w:r>
          </w:p>
        </w:tc>
        <w:tc>
          <w:tcPr>
            <w:tcW w:type="dxa" w:w="1134"/>
          </w:tcPr>
          <w:p>
            <w:pPr>
              <w:spacing w:after="20" w:line="240" w:lineRule="auto"/>
              <w:jc w:val="center"/>
            </w:pPr>
            <w:r/>
            <w:r>
              <w:rPr>
                <w:sz w:val="17"/>
              </w:rPr>
              <w:t>0,8071 ± 0,0098</w:t>
            </w:r>
          </w:p>
        </w:tc>
        <w:tc>
          <w:tcPr>
            <w:tcW w:type="dxa" w:w="1134"/>
          </w:tcPr>
          <w:p>
            <w:pPr>
              <w:spacing w:after="20" w:line="240" w:lineRule="auto"/>
              <w:jc w:val="center"/>
            </w:pPr>
            <w:r/>
            <w:r>
              <w:rPr>
                <w:sz w:val="17"/>
              </w:rPr>
              <w:t>0,265</w:t>
            </w:r>
          </w:p>
        </w:tc>
        <w:tc>
          <w:tcPr>
            <w:tcW w:type="dxa" w:w="1134"/>
          </w:tcPr>
          <w:p>
            <w:pPr>
              <w:spacing w:after="20" w:line="240" w:lineRule="auto"/>
              <w:jc w:val="center"/>
            </w:pPr>
            <w:r/>
            <w:r>
              <w:rPr>
                <w:sz w:val="17"/>
              </w:rPr>
              <w:t>0,799</w:t>
            </w:r>
          </w:p>
        </w:tc>
        <w:tc>
          <w:tcPr>
            <w:tcW w:type="dxa" w:w="1134"/>
          </w:tcPr>
          <w:p>
            <w:pPr>
              <w:spacing w:after="20" w:line="240" w:lineRule="auto"/>
              <w:jc w:val="center"/>
            </w:pPr>
            <w:r/>
            <w:r>
              <w:rPr>
                <w:sz w:val="17"/>
              </w:rPr>
              <w:t>0,533</w:t>
            </w:r>
          </w:p>
        </w:tc>
        <w:tc>
          <w:tcPr>
            <w:tcW w:type="dxa" w:w="1134"/>
          </w:tcPr>
          <w:p>
            <w:pPr>
              <w:spacing w:after="20" w:line="240" w:lineRule="auto"/>
              <w:jc w:val="center"/>
            </w:pPr>
            <w:r/>
            <w:r>
              <w:rPr>
                <w:sz w:val="17"/>
              </w:rPr>
              <w:t>0,159</w:t>
            </w:r>
          </w:p>
        </w:tc>
        <w:tc>
          <w:tcPr>
            <w:tcW w:type="dxa" w:w="1134"/>
          </w:tcPr>
          <w:p>
            <w:pPr>
              <w:spacing w:after="20" w:line="240" w:lineRule="auto"/>
              <w:jc w:val="center"/>
            </w:pPr>
            <w:r/>
            <w:r>
              <w:rPr>
                <w:sz w:val="17"/>
              </w:rPr>
              <w:t>0,245</w:t>
            </w:r>
          </w:p>
        </w:tc>
        <w:tc>
          <w:tcPr>
            <w:tcW w:type="dxa" w:w="1134"/>
          </w:tcPr>
          <w:p>
            <w:pPr>
              <w:spacing w:after="20" w:line="240" w:lineRule="auto"/>
              <w:jc w:val="center"/>
            </w:pPr>
            <w:r/>
            <w:r>
              <w:rPr>
                <w:sz w:val="17"/>
              </w:rPr>
              <w:t>0,779</w:t>
            </w:r>
          </w:p>
        </w:tc>
      </w:tr>
      <w:tr>
        <w:tc>
          <w:tcPr>
            <w:tcW w:type="dxa" w:w="1134"/>
            <w:shd w:val="clear" w:color="auto" w:fill="F2F2F2"/>
          </w:tcPr>
          <w:p>
            <w:pPr>
              <w:spacing w:after="20" w:line="240" w:lineRule="auto"/>
              <w:jc w:val="left"/>
            </w:pPr>
            <w:r/>
            <w:r>
              <w:rPr>
                <w:sz w:val="17"/>
              </w:rPr>
              <w:t>Naive Bayes</w:t>
            </w:r>
          </w:p>
        </w:tc>
        <w:tc>
          <w:tcPr>
            <w:tcW w:type="dxa" w:w="1134"/>
            <w:shd w:val="clear" w:color="auto" w:fill="F2F2F2"/>
          </w:tcPr>
          <w:p>
            <w:pPr>
              <w:spacing w:after="20" w:line="240" w:lineRule="auto"/>
              <w:jc w:val="center"/>
            </w:pPr>
            <w:r/>
            <w:r>
              <w:rPr>
                <w:sz w:val="17"/>
              </w:rPr>
              <w:t>0,5486 ± 0,0265</w:t>
            </w:r>
          </w:p>
        </w:tc>
        <w:tc>
          <w:tcPr>
            <w:tcW w:type="dxa" w:w="1134"/>
            <w:shd w:val="clear" w:color="auto" w:fill="F2F2F2"/>
          </w:tcPr>
          <w:p>
            <w:pPr>
              <w:spacing w:after="20" w:line="240" w:lineRule="auto"/>
              <w:jc w:val="center"/>
            </w:pPr>
            <w:r/>
            <w:r>
              <w:rPr>
                <w:sz w:val="17"/>
              </w:rPr>
              <w:t>0,424</w:t>
            </w:r>
          </w:p>
        </w:tc>
        <w:tc>
          <w:tcPr>
            <w:tcW w:type="dxa" w:w="1134"/>
            <w:shd w:val="clear" w:color="auto" w:fill="F2F2F2"/>
          </w:tcPr>
          <w:p>
            <w:pPr>
              <w:spacing w:after="20" w:line="240" w:lineRule="auto"/>
              <w:jc w:val="center"/>
            </w:pPr>
            <w:r/>
            <w:r>
              <w:rPr>
                <w:sz w:val="17"/>
              </w:rPr>
              <w:t>0,533</w:t>
            </w:r>
          </w:p>
        </w:tc>
        <w:tc>
          <w:tcPr>
            <w:tcW w:type="dxa" w:w="1134"/>
            <w:shd w:val="clear" w:color="auto" w:fill="F2F2F2"/>
          </w:tcPr>
          <w:p>
            <w:pPr>
              <w:spacing w:after="20" w:line="240" w:lineRule="auto"/>
              <w:jc w:val="center"/>
            </w:pPr>
            <w:r/>
            <w:r>
              <w:rPr>
                <w:sz w:val="17"/>
              </w:rPr>
              <w:t>0,278</w:t>
            </w:r>
          </w:p>
        </w:tc>
        <w:tc>
          <w:tcPr>
            <w:tcW w:type="dxa" w:w="1134"/>
            <w:shd w:val="clear" w:color="auto" w:fill="F2F2F2"/>
          </w:tcPr>
          <w:p>
            <w:pPr>
              <w:spacing w:after="20" w:line="240" w:lineRule="auto"/>
              <w:jc w:val="center"/>
            </w:pPr>
            <w:r/>
            <w:r>
              <w:rPr>
                <w:sz w:val="17"/>
              </w:rPr>
              <w:t>0,801</w:t>
            </w:r>
          </w:p>
        </w:tc>
        <w:tc>
          <w:tcPr>
            <w:tcW w:type="dxa" w:w="1134"/>
            <w:shd w:val="clear" w:color="auto" w:fill="F2F2F2"/>
          </w:tcPr>
          <w:p>
            <w:pPr>
              <w:spacing w:after="20" w:line="240" w:lineRule="auto"/>
              <w:jc w:val="center"/>
            </w:pPr>
            <w:r/>
            <w:r>
              <w:rPr>
                <w:sz w:val="17"/>
              </w:rPr>
              <w:t>0,413</w:t>
            </w:r>
          </w:p>
        </w:tc>
        <w:tc>
          <w:tcPr>
            <w:tcW w:type="dxa" w:w="1134"/>
            <w:shd w:val="clear" w:color="auto" w:fill="F2F2F2"/>
          </w:tcPr>
          <w:p>
            <w:pPr>
              <w:spacing w:after="20" w:line="240" w:lineRule="auto"/>
              <w:jc w:val="center"/>
            </w:pPr>
            <w:r/>
            <w:r>
              <w:rPr>
                <w:sz w:val="17"/>
              </w:rPr>
              <w:t>0,710</w:t>
            </w:r>
          </w:p>
        </w:tc>
      </w:tr>
    </w:tbl>
    <w:p>
      <w:pPr>
        <w:spacing w:after="80"/>
      </w:pPr>
    </w:p>
    <w:p>
      <w:pPr>
        <w:keepNext/>
        <w:jc w:val="center"/>
      </w:pPr>
      <w:r>
        <w:drawing>
          <wp:inline xmlns:a="http://schemas.openxmlformats.org/drawingml/2006/main" xmlns:pic="http://schemas.openxmlformats.org/drawingml/2006/picture">
            <wp:extent cx="5400000" cy="2880000"/>
            <wp:docPr id="13" name="Picture 13"/>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5400000" cy="2880000"/>
                    </a:xfrm>
                    <a:prstGeom prst="rect"/>
                  </pic:spPr>
                </pic:pic>
              </a:graphicData>
            </a:graphic>
          </wp:inline>
        </w:drawing>
      </w:r>
    </w:p>
    <w:p>
      <w:pPr>
        <w:spacing w:after="200"/>
        <w:jc w:val="center"/>
      </w:pPr>
      <w:r>
        <w:rPr>
          <w:i/>
          <w:sz w:val="19"/>
        </w:rPr>
        <w:t>Figura 13 – Accuracy, precision, recall e F-measure dos modelos no conjunto de validação.</w:t>
      </w:r>
    </w:p>
    <w:p>
      <w:pPr>
        <w:jc w:val="both"/>
      </w:pPr>
      <w:r>
        <w:rPr>
          <w:b w:val="0"/>
          <w:i w:val="0"/>
        </w:rPr>
        <w:t>Observam-se três grupos de desempenho bem definidos:</w:t>
      </w:r>
    </w:p>
    <w:p>
      <w:pPr>
        <w:pStyle w:val="ListBullet"/>
        <w:spacing w:after="40"/>
        <w:jc w:val="both"/>
      </w:pPr>
      <w:r>
        <w:rPr>
          <w:b w:val="0"/>
        </w:rPr>
      </w:r>
      <w:r>
        <w:rPr>
          <w:b/>
        </w:rPr>
        <w:t>Conjuntos de árvores (Bagging, Extra Trees, Gradient Boosting, Random Forest, AdaBoost):</w:t>
      </w:r>
      <w:r>
        <w:rPr>
          <w:b w:val="0"/>
        </w:rPr>
        <w:t xml:space="preserve"> accuracy na validação entre 0,946 e 0,959, F-measure entre 0,861 e 0,896, AUC entre 0,957 e 0,977. Apresentam precision elevada (0,905–0,942) e recall mais modesto (0,821–0,861), isto é, são conservadores: raramente classificam erradamente um produto sem desconto como em desconto, mas perdem entre 14% e 18% dos produtos realmente em desconto.</w:t>
      </w:r>
    </w:p>
    <w:p>
      <w:pPr>
        <w:pStyle w:val="ListBullet"/>
        <w:spacing w:after="40"/>
        <w:jc w:val="both"/>
      </w:pPr>
      <w:r>
        <w:rPr>
          <w:b w:val="0"/>
        </w:rPr>
      </w:r>
      <w:r>
        <w:rPr>
          <w:b/>
        </w:rPr>
        <w:t>Árvore de decisão isolada:</w:t>
      </w:r>
      <w:r>
        <w:rPr>
          <w:b w:val="0"/>
        </w:rPr>
        <w:t xml:space="preserve"> accuracy de 0,942 na validação (0,919 em CV) e o recall mais equilibrado face à precision (0,861 e 0,855). Beneficia do SMOTE e, sem limite de profundidade, ajusta-se de forma muito fina aos dados de treino.</w:t>
      </w:r>
    </w:p>
    <w:p>
      <w:pPr>
        <w:pStyle w:val="ListBullet"/>
        <w:spacing w:after="40"/>
        <w:jc w:val="both"/>
      </w:pPr>
      <w:r>
        <w:rPr>
          <w:b w:val="0"/>
        </w:rPr>
      </w:r>
      <w:r>
        <w:rPr>
          <w:b/>
        </w:rPr>
        <w:t>Regressão logística, SVM, KNN, K-Means, MLP e Naive Bayes:</w:t>
      </w:r>
      <w:r>
        <w:rPr>
          <w:b w:val="0"/>
        </w:rPr>
        <w:t xml:space="preserve"> claramente inferiores. O SVM com núcleo RBF (0,879 na validação, 0,866 em CV; precision 0,739 e recall 0,636) é, com o KNN, o melhor deste grupo, mas fica 7 a 8 pontos abaixo dos conjuntos de árvores; o K-Means (0,799) fica ao nível da baseline (79,5% na validação) com recall de 0,159. A regressão logística (0,806 na validação, 0,813 em CV) mal supera a baseline (79,5% na validação) e tem recall de apenas 0,159 (24 de 151 positivos identificados), pelo que a fronteira de decisão é fortemente não linear. O KNN (0,887) supera a baseline mas tem recall baixo (0,609); o MLP (0,789 na validação) fica abaixo da baseline na accuracy, apesar de recall de 0,748; o Naive Bayes (0,533) é pior do que classificar tudo como «sem desconto».</w:t>
      </w:r>
    </w:p>
    <w:p>
      <w:pPr>
        <w:jc w:val="both"/>
      </w:pPr>
      <w:r>
        <w:rPr>
          <w:b w:val="0"/>
          <w:i w:val="0"/>
        </w:rPr>
        <w:t xml:space="preserve">A diferença entre a accuracy do melhor e do quinto melhor conjunto de árvores na validação é de 1,3 pontos percentuais, comparável ao erro-padrão da estimativa (≈ 0,8 pontos); as diferenças em CV são ainda menores (0,95 vs. 0,94 com desvio-padrão ≈ 0,008). </w:t>
      </w:r>
      <w:r>
        <w:rPr>
          <w:b/>
          <w:i w:val="0"/>
        </w:rPr>
        <w:t>Não há, portanto, evidência estatística de que um dos cinco conjuntos de árvores seja melhor do que os outros.</w:t>
      </w:r>
      <w:r>
        <w:rPr>
          <w:b w:val="0"/>
          <w:i w:val="0"/>
        </w:rPr>
        <w:t xml:space="preserve"> O que é estatisticamente claro é a superioridade deste grupo sobre a regressão logística, o SVM, o KNN, o K-Means, o MLP e o Naive Bayes.</w:t>
      </w:r>
    </w:p>
    <w:p>
      <w:pPr>
        <w:pStyle w:val="Heading2"/>
      </w:pPr>
      <w:r>
        <w:t>3.2 Análise por modelo</w:t>
      </w:r>
    </w:p>
    <w:p>
      <w:pPr>
        <w:pStyle w:val="Heading3"/>
      </w:pPr>
      <w:r>
        <w:t>KNN</w:t>
      </w:r>
    </w:p>
    <w:p>
      <w:pPr>
        <w:jc w:val="both"/>
      </w:pPr>
      <w:r>
        <w:rPr>
          <w:b w:val="0"/>
          <w:i w:val="0"/>
        </w:rPr>
        <w:t>A melhor configuração usou k = 7, distância de Manhattan e ponderação pela distância, sem reamostragem. Atingiu 88,7% de accuracy na validação mas só 60,9% de recall (92 de 151 positivos). O KNN depende de uma noção de distância que, com 26 variáveis – 17 binárias e 9 contínuas em escalas diferentes – é pouco informativa, e sofre com a maldição da dimensionalidade. A reamostragem com SMOTE aumentou o recall mas reduziu a accuracy, e por isso não foi selecionada.</w:t>
      </w:r>
    </w:p>
    <w:p>
      <w:pPr>
        <w:pStyle w:val="Heading3"/>
      </w:pPr>
      <w:r>
        <w:t>Árvore de decisão</w:t>
      </w:r>
    </w:p>
    <w:p>
      <w:pPr>
        <w:jc w:val="both"/>
      </w:pPr>
      <w:r>
        <w:rPr>
          <w:b w:val="0"/>
          <w:i w:val="0"/>
        </w:rPr>
        <w:t>A árvore ótima não tem limite de profundidade, usa o critério de Gini e foi treinada com SMOTE. Na validação obtém 0,942 de accuracy com 130 verdadeiros positivos e 21 falsos negativos – o menor número de falsos negativos, a par do Extra Trees – ao custo de 22 falsos positivos. É o modelo mais interpretável, mas tem, porém, accuracy em CV (0,919) 2,2 pontos abaixo da obtida na validação (0,942), uma diferença maior do que nos conjuntos de árvores, que pode refletir a presença, na validação, de registos idênticos a registos de treino.</w:t>
      </w:r>
    </w:p>
    <w:p>
      <w:pPr>
        <w:pStyle w:val="Heading3"/>
      </w:pPr>
      <w:r>
        <w:t>Regressão logística</w:t>
      </w:r>
    </w:p>
    <w:p>
      <w:pPr>
        <w:jc w:val="both"/>
      </w:pPr>
      <w:r>
        <w:rPr>
          <w:b w:val="0"/>
          <w:i w:val="0"/>
        </w:rPr>
        <w:t>A melhor configuração usou C = 10 (regularização L2 fraca), sem reamostragem. Na validação obtém accuracy de 0,806, precision de 0,600, recall de 0,159, F-measure de 0,251 e AUC de 0,762: classifica corretamente 569 dos 585 negativos mas só 24 dos 151 positivos (127 falsos negativos). Como a accuracy é só 1,1 pontos percentuais superior à baseline de 79,5%, o modelo é, na prática, pouco melhor do que prever sempre «sem desconto». A regressão logística só capta efeitos lineares e aditivos nas variáveis padronizadas, ao passo que os modelos de árvores exploram interações e limiares; as correlações lineares fracas com y (secção 2.2.4) já antecipavam esta limitação. Mantém, em contrapartida, a vantagem de os coeficientes serem interpretáveis, e funciona como referência para quantificar o ganho dos modelos não lineares (cerca de 14 a 15 pontos percentuais de accuracy).</w:t>
      </w:r>
    </w:p>
    <w:p>
      <w:pPr>
        <w:pStyle w:val="Heading3"/>
      </w:pPr>
      <w:r>
        <w:t>SVM</w:t>
      </w:r>
    </w:p>
    <w:p>
      <w:pPr>
        <w:jc w:val="both"/>
      </w:pPr>
      <w:r>
        <w:rPr>
          <w:b w:val="0"/>
          <w:i w:val="0"/>
        </w:rPr>
        <w:t>A melhor configuração usou núcleo RBF com C = 100 e gamma = 0,1, sem reamostragem. Na validação obtém accuracy de 0,879, precision de 0,739, recall de 0,636, F-measure de 0,683 e AUC de 0,868 (calculada a partir da pontuação de decisão): identifica 96 dos 151 positivos com 34 falsos positivos. Fica ligeiramente abaixo do KNN e muito abaixo dos conjuntos de árvores; o desempenho, tal como no KNN, depende de uma noção de distância/kernel sobre 26 variáveis de natureza muito diferente (binárias e contínuas padronizadas), e o valor ótimo de C está no limite superior da grelha (100), pelo que uma grelha mais ampla poderia melhorar ligeiramente o resultado. Com os parâmetros por omissão (C = 1) a accuracy no mesmo conjunto de validação é de 0,813 e a F-measure de 0,296, ou seja, a afinação foi decisiva.</w:t>
      </w:r>
    </w:p>
    <w:p>
      <w:pPr>
        <w:pStyle w:val="Heading3"/>
      </w:pPr>
      <w:r>
        <w:t>K-Means (como classificador)</w:t>
      </w:r>
    </w:p>
    <w:p>
      <w:pPr>
        <w:jc w:val="both"/>
      </w:pPr>
      <w:r>
        <w:rPr>
          <w:b w:val="0"/>
          <w:i w:val="0"/>
        </w:rPr>
        <w:t>Com k = 2, como no notebook das aulas, os dois clusters têm como classe maioritária a classe 0, pelo que o modelo prevê sempre «sem desconto»: accuracy de 0,795 (igual à baseline) e recall nulo. Aumentar k até 64 prototypes melhora pouco (accuracy de 0,799 na validação e 0,807 em CV, recall de 0,159). Isto mostra que a estrutura de grupos presente nas variáveis, por distância euclidiana, quase não está alinhada com a existência de desconto, e que um método não supervisionado não é adequado a este problema sem usar a informação de y na construção dos grupos.</w:t>
      </w:r>
    </w:p>
    <w:p>
      <w:pPr>
        <w:pStyle w:val="Heading3"/>
      </w:pPr>
      <w:r>
        <w:t>Naive Bayes</w:t>
      </w:r>
    </w:p>
    <w:p>
      <w:pPr>
        <w:jc w:val="both"/>
      </w:pPr>
      <w:r>
        <w:rPr>
          <w:b w:val="0"/>
          <w:i w:val="0"/>
        </w:rPr>
        <w:t>O Naive Bayes Gaussiano é inadequado a estes dados: assume independência condicional entre variáveis e distribuições normais, ambas violadas (variáveis binárias, assimetrias fortes, correlações entre variáveis). Mesmo com a maior suavização testada (var_smoothing = 0,1), classifica incorretamente 314 dos 585 produtos sem desconto (precision de 0,278 e recall de 0,801). Variantes por tipo de variável (Bernoulli para as d, Gaussiano para as x) poderiam melhorar, mas ficam fora do âmbito pedido.</w:t>
      </w:r>
    </w:p>
    <w:p>
      <w:pPr>
        <w:pStyle w:val="Heading3"/>
      </w:pPr>
      <w:r>
        <w:t>MLP</w:t>
      </w:r>
    </w:p>
    <w:p>
      <w:pPr>
        <w:jc w:val="both"/>
      </w:pPr>
      <w:r>
        <w:rPr>
          <w:b w:val="0"/>
          <w:i w:val="0"/>
        </w:rPr>
        <w:t>A melhor rede tem duas camadas escondidas (64 e 32 neurónios), regularização L2 de 10⁻⁴, taxa de aprendizagem de 0,01 e foi treinada com SMOTE. A accuracy cai de 0,864 em CV para 0,789 na validação (−7,5 pontos), com precision de 0,491, o que indica instabilidade do modelo. As redes neuronais exigem em geral mais dados e uma afinação mais fina do que a feita aqui (apenas 24 combinações); a dimensão da amostra (2 940 registos) e a natureza tabular e com muitas variáveis binárias favorecem os modelos de árvores.</w:t>
      </w:r>
    </w:p>
    <w:p>
      <w:pPr>
        <w:pStyle w:val="Heading3"/>
      </w:pPr>
      <w:r>
        <w:t>Random Forest, Bagging e Extra Trees</w:t>
      </w:r>
    </w:p>
    <w:p>
      <w:pPr>
        <w:jc w:val="both"/>
      </w:pPr>
      <w:r>
        <w:rPr>
          <w:b w:val="0"/>
          <w:i w:val="0"/>
        </w:rPr>
        <w:t>Os três usam árvores profundas treinadas em amostras aleatórias, o que reduz a variância face a uma única árvore. A Random Forest e o Bagging beneficiaram do SMOTE (selecionado em ambos). O Bagging obteve a melhor accuracy na validação (0,959, com apenas 8 falsos positivos) e o Extra Trees a melhor AUC (0,977) e a melhor precisão média (0,951) (o que sugere que os cortes aleatórios produzem probabilidades mais bem ordenadas), com o melhor recall (0,861) do grupo juntamente com a árvore de decisão. A Random Forest ficou ligeiramente abaixo (0,950).</w:t>
      </w:r>
    </w:p>
    <w:p>
      <w:pPr>
        <w:pStyle w:val="Heading3"/>
      </w:pPr>
      <w:r>
        <w:t>AdaBoost e Gradient Boosting</w:t>
      </w:r>
    </w:p>
    <w:p>
      <w:pPr>
        <w:jc w:val="both"/>
      </w:pPr>
      <w:r>
        <w:rPr>
          <w:b w:val="0"/>
          <w:i w:val="0"/>
        </w:rPr>
        <w:t>O AdaBoost (300 estimadores, taxa de aprendizagem 1, árvores de profundidade 5, sem reamostragem) obteve a maior accuracy em CV (0,951 ± 0,008), mas na validação ficou em 0,946, com F-measure de 0,861. O Gradient Boosting (200 árvores de profundidade 7, taxa 0,1, subamostragem 0,8) obteve 0,949 em CV e 0,951 na validação, com a precision mais alta do grupo depois do Bagging (0,932). Nenhum dos dois beneficiou do SMOTE; uma possível explicação é que o boosting, ao dar peso crescente aos exemplos mal classificados, é menos sensível ao desequilíbrio, mas esta hipótese não foi testada.</w:t>
      </w:r>
    </w:p>
    <w:p>
      <w:pPr>
        <w:pStyle w:val="Heading3"/>
      </w:pPr>
      <w:r>
        <w:t>Modelos base das aulas e efeito da afinação</w:t>
      </w:r>
    </w:p>
    <w:p>
      <w:pPr>
        <w:jc w:val="both"/>
      </w:pPr>
      <w:r>
        <w:rPr>
          <w:b w:val="0"/>
          <w:i w:val="0"/>
        </w:rPr>
        <w:t>A Tabela 13 compara os modelos dos notebooks das aulas, com os parâmetros usados nas aulas, e os mesmos algoritmos depois da afinação por validação cruzada, ambos medidos no conjunto de validação. A afinação traz ganhos em todos os modelos, muito grandes no KNN e no SVM, moderados no Naive Bayes e na árvore e quase nulos no K-Means, que com k = 2 coincide com a baseline.</w:t>
      </w:r>
    </w:p>
    <w:p>
      <w:pPr>
        <w:keepNext/>
        <w:spacing w:after="60"/>
        <w:jc w:val="center"/>
      </w:pPr>
      <w:r>
        <w:rPr>
          <w:i/>
          <w:sz w:val="19"/>
        </w:rPr>
        <w:t>Tabela 13 – Modelos com parâmetros das aulas vs. modelos afinados (conjunto de validação, classe 1).</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9B1C2E"/>
          </w:tcPr>
          <w:p>
            <w:pPr>
              <w:spacing w:after="20" w:line="240" w:lineRule="auto"/>
              <w:jc w:val="center"/>
            </w:pPr>
            <w:r/>
            <w:r>
              <w:rPr>
                <w:b/>
                <w:color w:val="FFFFFF"/>
                <w:sz w:val="17"/>
              </w:rPr>
              <w:t>Modelo</w:t>
            </w:r>
          </w:p>
        </w:tc>
        <w:tc>
          <w:tcPr>
            <w:tcW w:type="dxa" w:w="1296"/>
            <w:shd w:val="clear" w:color="auto" w:fill="9B1C2E"/>
          </w:tcPr>
          <w:p>
            <w:pPr>
              <w:spacing w:after="20" w:line="240" w:lineRule="auto"/>
              <w:jc w:val="center"/>
            </w:pPr>
            <w:r/>
            <w:r>
              <w:rPr>
                <w:b/>
                <w:color w:val="FFFFFF"/>
                <w:sz w:val="17"/>
              </w:rPr>
              <w:t>Accuracy (aulas)</w:t>
            </w:r>
          </w:p>
        </w:tc>
        <w:tc>
          <w:tcPr>
            <w:tcW w:type="dxa" w:w="1296"/>
            <w:shd w:val="clear" w:color="auto" w:fill="9B1C2E"/>
          </w:tcPr>
          <w:p>
            <w:pPr>
              <w:spacing w:after="20" w:line="240" w:lineRule="auto"/>
              <w:jc w:val="center"/>
            </w:pPr>
            <w:r/>
            <w:r>
              <w:rPr>
                <w:b/>
                <w:color w:val="FFFFFF"/>
                <w:sz w:val="17"/>
              </w:rPr>
              <w:t>Recall (aulas)</w:t>
            </w:r>
          </w:p>
        </w:tc>
        <w:tc>
          <w:tcPr>
            <w:tcW w:type="dxa" w:w="1296"/>
            <w:shd w:val="clear" w:color="auto" w:fill="9B1C2E"/>
          </w:tcPr>
          <w:p>
            <w:pPr>
              <w:spacing w:after="20" w:line="240" w:lineRule="auto"/>
              <w:jc w:val="center"/>
            </w:pPr>
            <w:r/>
            <w:r>
              <w:rPr>
                <w:b/>
                <w:color w:val="FFFFFF"/>
                <w:sz w:val="17"/>
              </w:rPr>
              <w:t>F-measure (aulas)</w:t>
            </w:r>
          </w:p>
        </w:tc>
        <w:tc>
          <w:tcPr>
            <w:tcW w:type="dxa" w:w="1296"/>
            <w:shd w:val="clear" w:color="auto" w:fill="9B1C2E"/>
          </w:tcPr>
          <w:p>
            <w:pPr>
              <w:spacing w:after="20" w:line="240" w:lineRule="auto"/>
              <w:jc w:val="center"/>
            </w:pPr>
            <w:r/>
            <w:r>
              <w:rPr>
                <w:b/>
                <w:color w:val="FFFFFF"/>
                <w:sz w:val="17"/>
              </w:rPr>
              <w:t>Accuracy (afinado)</w:t>
            </w:r>
          </w:p>
        </w:tc>
        <w:tc>
          <w:tcPr>
            <w:tcW w:type="dxa" w:w="1296"/>
            <w:shd w:val="clear" w:color="auto" w:fill="9B1C2E"/>
          </w:tcPr>
          <w:p>
            <w:pPr>
              <w:spacing w:after="20" w:line="240" w:lineRule="auto"/>
              <w:jc w:val="center"/>
            </w:pPr>
            <w:r/>
            <w:r>
              <w:rPr>
                <w:b/>
                <w:color w:val="FFFFFF"/>
                <w:sz w:val="17"/>
              </w:rPr>
              <w:t>Recall (afinado)</w:t>
            </w:r>
          </w:p>
        </w:tc>
        <w:tc>
          <w:tcPr>
            <w:tcW w:type="dxa" w:w="1296"/>
            <w:shd w:val="clear" w:color="auto" w:fill="9B1C2E"/>
          </w:tcPr>
          <w:p>
            <w:pPr>
              <w:spacing w:after="20" w:line="240" w:lineRule="auto"/>
              <w:jc w:val="center"/>
            </w:pPr>
            <w:r/>
            <w:r>
              <w:rPr>
                <w:b/>
                <w:color w:val="FFFFFF"/>
                <w:sz w:val="17"/>
              </w:rPr>
              <w:t>F-measure (afinado)</w:t>
            </w:r>
          </w:p>
        </w:tc>
      </w:tr>
      <w:tr>
        <w:tc>
          <w:tcPr>
            <w:tcW w:type="dxa" w:w="1296"/>
          </w:tcPr>
          <w:p>
            <w:pPr>
              <w:spacing w:after="20" w:line="240" w:lineRule="auto"/>
              <w:jc w:val="left"/>
            </w:pPr>
            <w:r/>
            <w:r>
              <w:rPr>
                <w:sz w:val="17"/>
              </w:rPr>
              <w:t>Árvore de Decisão</w:t>
            </w:r>
          </w:p>
        </w:tc>
        <w:tc>
          <w:tcPr>
            <w:tcW w:type="dxa" w:w="1296"/>
          </w:tcPr>
          <w:p>
            <w:pPr>
              <w:spacing w:after="20" w:line="240" w:lineRule="auto"/>
              <w:jc w:val="center"/>
            </w:pPr>
            <w:r/>
            <w:r>
              <w:rPr>
                <w:sz w:val="17"/>
              </w:rPr>
              <w:t>0,936</w:t>
            </w:r>
          </w:p>
        </w:tc>
        <w:tc>
          <w:tcPr>
            <w:tcW w:type="dxa" w:w="1296"/>
          </w:tcPr>
          <w:p>
            <w:pPr>
              <w:spacing w:after="20" w:line="240" w:lineRule="auto"/>
              <w:jc w:val="center"/>
            </w:pPr>
            <w:r/>
            <w:r>
              <w:rPr>
                <w:sz w:val="17"/>
              </w:rPr>
              <w:t>0,808</w:t>
            </w:r>
          </w:p>
        </w:tc>
        <w:tc>
          <w:tcPr>
            <w:tcW w:type="dxa" w:w="1296"/>
          </w:tcPr>
          <w:p>
            <w:pPr>
              <w:spacing w:after="20" w:line="240" w:lineRule="auto"/>
              <w:jc w:val="center"/>
            </w:pPr>
            <w:r/>
            <w:r>
              <w:rPr>
                <w:sz w:val="17"/>
              </w:rPr>
              <w:t>0,838</w:t>
            </w:r>
          </w:p>
        </w:tc>
        <w:tc>
          <w:tcPr>
            <w:tcW w:type="dxa" w:w="1296"/>
          </w:tcPr>
          <w:p>
            <w:pPr>
              <w:spacing w:after="20" w:line="240" w:lineRule="auto"/>
              <w:jc w:val="center"/>
            </w:pPr>
            <w:r/>
            <w:r>
              <w:rPr>
                <w:sz w:val="17"/>
              </w:rPr>
              <w:t>0,942</w:t>
            </w:r>
          </w:p>
        </w:tc>
        <w:tc>
          <w:tcPr>
            <w:tcW w:type="dxa" w:w="1296"/>
          </w:tcPr>
          <w:p>
            <w:pPr>
              <w:spacing w:after="20" w:line="240" w:lineRule="auto"/>
              <w:jc w:val="center"/>
            </w:pPr>
            <w:r/>
            <w:r>
              <w:rPr>
                <w:sz w:val="17"/>
              </w:rPr>
              <w:t>0,861</w:t>
            </w:r>
          </w:p>
        </w:tc>
        <w:tc>
          <w:tcPr>
            <w:tcW w:type="dxa" w:w="1296"/>
          </w:tcPr>
          <w:p>
            <w:pPr>
              <w:spacing w:after="20" w:line="240" w:lineRule="auto"/>
              <w:jc w:val="center"/>
            </w:pPr>
            <w:r/>
            <w:r>
              <w:rPr>
                <w:sz w:val="17"/>
              </w:rPr>
              <w:t>0,858</w:t>
            </w:r>
          </w:p>
        </w:tc>
      </w:tr>
      <w:tr>
        <w:tc>
          <w:tcPr>
            <w:tcW w:type="dxa" w:w="1296"/>
            <w:shd w:val="clear" w:color="auto" w:fill="F2F2F2"/>
          </w:tcPr>
          <w:p>
            <w:pPr>
              <w:spacing w:after="20" w:line="240" w:lineRule="auto"/>
              <w:jc w:val="left"/>
            </w:pPr>
            <w:r/>
            <w:r>
              <w:rPr>
                <w:sz w:val="17"/>
              </w:rPr>
              <w:t>KNN (k = 4)</w:t>
            </w:r>
          </w:p>
        </w:tc>
        <w:tc>
          <w:tcPr>
            <w:tcW w:type="dxa" w:w="1296"/>
            <w:shd w:val="clear" w:color="auto" w:fill="F2F2F2"/>
          </w:tcPr>
          <w:p>
            <w:pPr>
              <w:spacing w:after="20" w:line="240" w:lineRule="auto"/>
              <w:jc w:val="center"/>
            </w:pPr>
            <w:r/>
            <w:r>
              <w:rPr>
                <w:sz w:val="17"/>
              </w:rPr>
              <w:t>0,833</w:t>
            </w:r>
          </w:p>
        </w:tc>
        <w:tc>
          <w:tcPr>
            <w:tcW w:type="dxa" w:w="1296"/>
            <w:shd w:val="clear" w:color="auto" w:fill="F2F2F2"/>
          </w:tcPr>
          <w:p>
            <w:pPr>
              <w:spacing w:after="20" w:line="240" w:lineRule="auto"/>
              <w:jc w:val="center"/>
            </w:pPr>
            <w:r/>
            <w:r>
              <w:rPr>
                <w:sz w:val="17"/>
              </w:rPr>
              <w:t>0,325</w:t>
            </w:r>
          </w:p>
        </w:tc>
        <w:tc>
          <w:tcPr>
            <w:tcW w:type="dxa" w:w="1296"/>
            <w:shd w:val="clear" w:color="auto" w:fill="F2F2F2"/>
          </w:tcPr>
          <w:p>
            <w:pPr>
              <w:spacing w:after="20" w:line="240" w:lineRule="auto"/>
              <w:jc w:val="center"/>
            </w:pPr>
            <w:r/>
            <w:r>
              <w:rPr>
                <w:sz w:val="17"/>
              </w:rPr>
              <w:t>0,443</w:t>
            </w:r>
          </w:p>
        </w:tc>
        <w:tc>
          <w:tcPr>
            <w:tcW w:type="dxa" w:w="1296"/>
            <w:shd w:val="clear" w:color="auto" w:fill="F2F2F2"/>
          </w:tcPr>
          <w:p>
            <w:pPr>
              <w:spacing w:after="20" w:line="240" w:lineRule="auto"/>
              <w:jc w:val="center"/>
            </w:pPr>
            <w:r/>
            <w:r>
              <w:rPr>
                <w:sz w:val="17"/>
              </w:rPr>
              <w:t>0,887</w:t>
            </w:r>
          </w:p>
        </w:tc>
        <w:tc>
          <w:tcPr>
            <w:tcW w:type="dxa" w:w="1296"/>
            <w:shd w:val="clear" w:color="auto" w:fill="F2F2F2"/>
          </w:tcPr>
          <w:p>
            <w:pPr>
              <w:spacing w:after="20" w:line="240" w:lineRule="auto"/>
              <w:jc w:val="center"/>
            </w:pPr>
            <w:r/>
            <w:r>
              <w:rPr>
                <w:sz w:val="17"/>
              </w:rPr>
              <w:t>0,609</w:t>
            </w:r>
          </w:p>
        </w:tc>
        <w:tc>
          <w:tcPr>
            <w:tcW w:type="dxa" w:w="1296"/>
            <w:shd w:val="clear" w:color="auto" w:fill="F2F2F2"/>
          </w:tcPr>
          <w:p>
            <w:pPr>
              <w:spacing w:after="20" w:line="240" w:lineRule="auto"/>
              <w:jc w:val="center"/>
            </w:pPr>
            <w:r/>
            <w:r>
              <w:rPr>
                <w:sz w:val="17"/>
              </w:rPr>
              <w:t>0,689</w:t>
            </w:r>
          </w:p>
        </w:tc>
      </w:tr>
      <w:tr>
        <w:tc>
          <w:tcPr>
            <w:tcW w:type="dxa" w:w="1296"/>
          </w:tcPr>
          <w:p>
            <w:pPr>
              <w:spacing w:after="20" w:line="240" w:lineRule="auto"/>
              <w:jc w:val="left"/>
            </w:pPr>
            <w:r/>
            <w:r>
              <w:rPr>
                <w:sz w:val="17"/>
              </w:rPr>
              <w:t>Naive Bayes</w:t>
            </w:r>
          </w:p>
        </w:tc>
        <w:tc>
          <w:tcPr>
            <w:tcW w:type="dxa" w:w="1296"/>
          </w:tcPr>
          <w:p>
            <w:pPr>
              <w:spacing w:after="20" w:line="240" w:lineRule="auto"/>
              <w:jc w:val="center"/>
            </w:pPr>
            <w:r/>
            <w:r>
              <w:rPr>
                <w:sz w:val="17"/>
              </w:rPr>
              <w:t>0,372</w:t>
            </w:r>
          </w:p>
        </w:tc>
        <w:tc>
          <w:tcPr>
            <w:tcW w:type="dxa" w:w="1296"/>
          </w:tcPr>
          <w:p>
            <w:pPr>
              <w:spacing w:after="20" w:line="240" w:lineRule="auto"/>
              <w:jc w:val="center"/>
            </w:pPr>
            <w:r/>
            <w:r>
              <w:rPr>
                <w:sz w:val="17"/>
              </w:rPr>
              <w:t>0,940</w:t>
            </w:r>
          </w:p>
        </w:tc>
        <w:tc>
          <w:tcPr>
            <w:tcW w:type="dxa" w:w="1296"/>
          </w:tcPr>
          <w:p>
            <w:pPr>
              <w:spacing w:after="20" w:line="240" w:lineRule="auto"/>
              <w:jc w:val="center"/>
            </w:pPr>
            <w:r/>
            <w:r>
              <w:rPr>
                <w:sz w:val="17"/>
              </w:rPr>
              <w:t>0,381</w:t>
            </w:r>
          </w:p>
        </w:tc>
        <w:tc>
          <w:tcPr>
            <w:tcW w:type="dxa" w:w="1296"/>
          </w:tcPr>
          <w:p>
            <w:pPr>
              <w:spacing w:after="20" w:line="240" w:lineRule="auto"/>
              <w:jc w:val="center"/>
            </w:pPr>
            <w:r/>
            <w:r>
              <w:rPr>
                <w:sz w:val="17"/>
              </w:rPr>
              <w:t>0,533</w:t>
            </w:r>
          </w:p>
        </w:tc>
        <w:tc>
          <w:tcPr>
            <w:tcW w:type="dxa" w:w="1296"/>
          </w:tcPr>
          <w:p>
            <w:pPr>
              <w:spacing w:after="20" w:line="240" w:lineRule="auto"/>
              <w:jc w:val="center"/>
            </w:pPr>
            <w:r/>
            <w:r>
              <w:rPr>
                <w:sz w:val="17"/>
              </w:rPr>
              <w:t>0,801</w:t>
            </w:r>
          </w:p>
        </w:tc>
        <w:tc>
          <w:tcPr>
            <w:tcW w:type="dxa" w:w="1296"/>
          </w:tcPr>
          <w:p>
            <w:pPr>
              <w:spacing w:after="20" w:line="240" w:lineRule="auto"/>
              <w:jc w:val="center"/>
            </w:pPr>
            <w:r/>
            <w:r>
              <w:rPr>
                <w:sz w:val="17"/>
              </w:rPr>
              <w:t>0,413</w:t>
            </w:r>
          </w:p>
        </w:tc>
      </w:tr>
      <w:tr>
        <w:tc>
          <w:tcPr>
            <w:tcW w:type="dxa" w:w="1296"/>
            <w:shd w:val="clear" w:color="auto" w:fill="F2F2F2"/>
          </w:tcPr>
          <w:p>
            <w:pPr>
              <w:spacing w:after="20" w:line="240" w:lineRule="auto"/>
              <w:jc w:val="left"/>
            </w:pPr>
            <w:r/>
            <w:r>
              <w:rPr>
                <w:sz w:val="17"/>
              </w:rPr>
              <w:t>SVM</w:t>
            </w:r>
          </w:p>
        </w:tc>
        <w:tc>
          <w:tcPr>
            <w:tcW w:type="dxa" w:w="1296"/>
            <w:shd w:val="clear" w:color="auto" w:fill="F2F2F2"/>
          </w:tcPr>
          <w:p>
            <w:pPr>
              <w:spacing w:after="20" w:line="240" w:lineRule="auto"/>
              <w:jc w:val="center"/>
            </w:pPr>
            <w:r/>
            <w:r>
              <w:rPr>
                <w:sz w:val="17"/>
              </w:rPr>
              <w:t>0,812</w:t>
            </w:r>
          </w:p>
        </w:tc>
        <w:tc>
          <w:tcPr>
            <w:tcW w:type="dxa" w:w="1296"/>
            <w:shd w:val="clear" w:color="auto" w:fill="F2F2F2"/>
          </w:tcPr>
          <w:p>
            <w:pPr>
              <w:spacing w:after="20" w:line="240" w:lineRule="auto"/>
              <w:jc w:val="center"/>
            </w:pPr>
            <w:r/>
            <w:r>
              <w:rPr>
                <w:sz w:val="17"/>
              </w:rPr>
              <w:t>0,192</w:t>
            </w:r>
          </w:p>
        </w:tc>
        <w:tc>
          <w:tcPr>
            <w:tcW w:type="dxa" w:w="1296"/>
            <w:shd w:val="clear" w:color="auto" w:fill="F2F2F2"/>
          </w:tcPr>
          <w:p>
            <w:pPr>
              <w:spacing w:after="20" w:line="240" w:lineRule="auto"/>
              <w:jc w:val="center"/>
            </w:pPr>
            <w:r/>
            <w:r>
              <w:rPr>
                <w:sz w:val="17"/>
              </w:rPr>
              <w:t>0,296</w:t>
            </w:r>
          </w:p>
        </w:tc>
        <w:tc>
          <w:tcPr>
            <w:tcW w:type="dxa" w:w="1296"/>
            <w:shd w:val="clear" w:color="auto" w:fill="F2F2F2"/>
          </w:tcPr>
          <w:p>
            <w:pPr>
              <w:spacing w:after="20" w:line="240" w:lineRule="auto"/>
              <w:jc w:val="center"/>
            </w:pPr>
            <w:r/>
            <w:r>
              <w:rPr>
                <w:sz w:val="17"/>
              </w:rPr>
              <w:t>0,879</w:t>
            </w:r>
          </w:p>
        </w:tc>
        <w:tc>
          <w:tcPr>
            <w:tcW w:type="dxa" w:w="1296"/>
            <w:shd w:val="clear" w:color="auto" w:fill="F2F2F2"/>
          </w:tcPr>
          <w:p>
            <w:pPr>
              <w:spacing w:after="20" w:line="240" w:lineRule="auto"/>
              <w:jc w:val="center"/>
            </w:pPr>
            <w:r/>
            <w:r>
              <w:rPr>
                <w:sz w:val="17"/>
              </w:rPr>
              <w:t>0,636</w:t>
            </w:r>
          </w:p>
        </w:tc>
        <w:tc>
          <w:tcPr>
            <w:tcW w:type="dxa" w:w="1296"/>
            <w:shd w:val="clear" w:color="auto" w:fill="F2F2F2"/>
          </w:tcPr>
          <w:p>
            <w:pPr>
              <w:spacing w:after="20" w:line="240" w:lineRule="auto"/>
              <w:jc w:val="center"/>
            </w:pPr>
            <w:r/>
            <w:r>
              <w:rPr>
                <w:sz w:val="17"/>
              </w:rPr>
              <w:t>0,683</w:t>
            </w:r>
          </w:p>
        </w:tc>
      </w:tr>
      <w:tr>
        <w:tc>
          <w:tcPr>
            <w:tcW w:type="dxa" w:w="1296"/>
          </w:tcPr>
          <w:p>
            <w:pPr>
              <w:spacing w:after="20" w:line="240" w:lineRule="auto"/>
              <w:jc w:val="left"/>
            </w:pPr>
            <w:r/>
            <w:r>
              <w:rPr>
                <w:sz w:val="17"/>
              </w:rPr>
              <w:t>K-Means (k = 2)</w:t>
            </w:r>
          </w:p>
        </w:tc>
        <w:tc>
          <w:tcPr>
            <w:tcW w:type="dxa" w:w="1296"/>
          </w:tcPr>
          <w:p>
            <w:pPr>
              <w:spacing w:after="20" w:line="240" w:lineRule="auto"/>
              <w:jc w:val="center"/>
            </w:pPr>
            <w:r/>
            <w:r>
              <w:rPr>
                <w:sz w:val="17"/>
              </w:rPr>
              <w:t>0,795</w:t>
            </w:r>
          </w:p>
        </w:tc>
        <w:tc>
          <w:tcPr>
            <w:tcW w:type="dxa" w:w="1296"/>
          </w:tcPr>
          <w:p>
            <w:pPr>
              <w:spacing w:after="20" w:line="240" w:lineRule="auto"/>
              <w:jc w:val="center"/>
            </w:pPr>
            <w:r/>
            <w:r>
              <w:rPr>
                <w:sz w:val="17"/>
              </w:rPr>
              <w:t>0,000</w:t>
            </w:r>
          </w:p>
        </w:tc>
        <w:tc>
          <w:tcPr>
            <w:tcW w:type="dxa" w:w="1296"/>
          </w:tcPr>
          <w:p>
            <w:pPr>
              <w:spacing w:after="20" w:line="240" w:lineRule="auto"/>
              <w:jc w:val="center"/>
            </w:pPr>
            <w:r/>
            <w:r>
              <w:rPr>
                <w:sz w:val="17"/>
              </w:rPr>
              <w:t>0,000</w:t>
            </w:r>
          </w:p>
        </w:tc>
        <w:tc>
          <w:tcPr>
            <w:tcW w:type="dxa" w:w="1296"/>
          </w:tcPr>
          <w:p>
            <w:pPr>
              <w:spacing w:after="20" w:line="240" w:lineRule="auto"/>
              <w:jc w:val="center"/>
            </w:pPr>
            <w:r/>
            <w:r>
              <w:rPr>
                <w:sz w:val="17"/>
              </w:rPr>
              <w:t>0,799</w:t>
            </w:r>
          </w:p>
        </w:tc>
        <w:tc>
          <w:tcPr>
            <w:tcW w:type="dxa" w:w="1296"/>
          </w:tcPr>
          <w:p>
            <w:pPr>
              <w:spacing w:after="20" w:line="240" w:lineRule="auto"/>
              <w:jc w:val="center"/>
            </w:pPr>
            <w:r/>
            <w:r>
              <w:rPr>
                <w:sz w:val="17"/>
              </w:rPr>
              <w:t>0,159</w:t>
            </w:r>
          </w:p>
        </w:tc>
        <w:tc>
          <w:tcPr>
            <w:tcW w:type="dxa" w:w="1296"/>
          </w:tcPr>
          <w:p>
            <w:pPr>
              <w:spacing w:after="20" w:line="240" w:lineRule="auto"/>
              <w:jc w:val="center"/>
            </w:pPr>
            <w:r/>
            <w:r>
              <w:rPr>
                <w:sz w:val="17"/>
              </w:rPr>
              <w:t>0,245</w:t>
            </w:r>
          </w:p>
        </w:tc>
      </w:tr>
    </w:tbl>
    <w:p>
      <w:pPr>
        <w:spacing w:after="80"/>
      </w:pPr>
    </w:p>
    <w:p>
      <w:pPr>
        <w:keepNext/>
        <w:jc w:val="center"/>
      </w:pPr>
      <w:r>
        <w:drawing>
          <wp:inline xmlns:a="http://schemas.openxmlformats.org/drawingml/2006/main" xmlns:pic="http://schemas.openxmlformats.org/drawingml/2006/picture">
            <wp:extent cx="5580000" cy="2282727"/>
            <wp:docPr id="14" name="Picture 14"/>
            <wp:cNvGraphicFramePr>
              <a:graphicFrameLocks noChangeAspect="1"/>
            </wp:cNvGraphicFramePr>
            <a:graphic>
              <a:graphicData uri="http://schemas.openxmlformats.org/drawingml/2006/picture">
                <pic:pic>
                  <pic:nvPicPr>
                    <pic:cNvPr id="0" name="roc_pr.png"/>
                    <pic:cNvPicPr/>
                  </pic:nvPicPr>
                  <pic:blipFill>
                    <a:blip r:embed="rId22"/>
                    <a:stretch>
                      <a:fillRect/>
                    </a:stretch>
                  </pic:blipFill>
                  <pic:spPr>
                    <a:xfrm>
                      <a:off x="0" y="0"/>
                      <a:ext cx="5580000" cy="2282727"/>
                    </a:xfrm>
                    <a:prstGeom prst="rect"/>
                  </pic:spPr>
                </pic:pic>
              </a:graphicData>
            </a:graphic>
          </wp:inline>
        </w:drawing>
      </w:r>
    </w:p>
    <w:p>
      <w:pPr>
        <w:spacing w:after="200"/>
        <w:jc w:val="center"/>
      </w:pPr>
      <w:r>
        <w:rPr>
          <w:i/>
          <w:sz w:val="19"/>
        </w:rPr>
        <w:t>Figura 14 – Curvas ROC (esquerda) e precision-recall (direita) no conjunto de validação.</w:t>
      </w:r>
    </w:p>
    <w:p>
      <w:pPr>
        <w:keepNext/>
        <w:jc w:val="center"/>
      </w:pPr>
      <w:r>
        <w:drawing>
          <wp:inline xmlns:a="http://schemas.openxmlformats.org/drawingml/2006/main" xmlns:pic="http://schemas.openxmlformats.org/drawingml/2006/picture">
            <wp:extent cx="4500000" cy="5400000"/>
            <wp:docPr id="15" name="Picture 15"/>
            <wp:cNvGraphicFramePr>
              <a:graphicFrameLocks noChangeAspect="1"/>
            </wp:cNvGraphicFramePr>
            <a:graphic>
              <a:graphicData uri="http://schemas.openxmlformats.org/drawingml/2006/picture">
                <pic:pic>
                  <pic:nvPicPr>
                    <pic:cNvPr id="0" name="confusion.png"/>
                    <pic:cNvPicPr/>
                  </pic:nvPicPr>
                  <pic:blipFill>
                    <a:blip r:embed="rId23"/>
                    <a:stretch>
                      <a:fillRect/>
                    </a:stretch>
                  </pic:blipFill>
                  <pic:spPr>
                    <a:xfrm>
                      <a:off x="0" y="0"/>
                      <a:ext cx="4500000" cy="5400000"/>
                    </a:xfrm>
                    <a:prstGeom prst="rect"/>
                  </pic:spPr>
                </pic:pic>
              </a:graphicData>
            </a:graphic>
          </wp:inline>
        </w:drawing>
      </w:r>
    </w:p>
    <w:p>
      <w:pPr>
        <w:spacing w:after="200"/>
        <w:jc w:val="center"/>
      </w:pPr>
      <w:r>
        <w:rPr>
          <w:i/>
          <w:sz w:val="19"/>
        </w:rPr>
        <w:t>Figura 15 – Matrizes de confusão no conjunto de validação (736 registos: 585 negativos e 151 positivos).</w:t>
      </w:r>
    </w:p>
    <w:p>
      <w:pPr>
        <w:keepNext/>
        <w:spacing w:after="60"/>
        <w:jc w:val="center"/>
      </w:pPr>
      <w:r>
        <w:rPr>
          <w:i/>
          <w:sz w:val="19"/>
        </w:rPr>
        <w:t>Tabela 14 – Contagens das matrizes de confusão no conjunto de validação (VN = verdadeiros negativos, FP = falsos positivos, FN = falsos negativos, VP = verdadeiros positivos).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51"/>
            <w:shd w:val="clear" w:color="auto" w:fill="9B1C2E"/>
          </w:tcPr>
          <w:p>
            <w:pPr>
              <w:spacing w:after="20" w:line="240" w:lineRule="auto"/>
              <w:jc w:val="center"/>
            </w:pPr>
            <w:r/>
            <w:r>
              <w:rPr>
                <w:b/>
                <w:color w:val="FFFFFF"/>
                <w:sz w:val="18"/>
              </w:rPr>
              <w:t>Modelo</w:t>
            </w:r>
          </w:p>
        </w:tc>
        <w:tc>
          <w:tcPr>
            <w:tcW w:type="dxa" w:w="1134"/>
            <w:shd w:val="clear" w:color="auto" w:fill="9B1C2E"/>
          </w:tcPr>
          <w:p>
            <w:pPr>
              <w:spacing w:after="20" w:line="240" w:lineRule="auto"/>
              <w:jc w:val="center"/>
            </w:pPr>
            <w:r/>
            <w:r>
              <w:rPr>
                <w:b/>
                <w:color w:val="FFFFFF"/>
                <w:sz w:val="18"/>
              </w:rPr>
              <w:t>VN</w:t>
            </w:r>
          </w:p>
        </w:tc>
        <w:tc>
          <w:tcPr>
            <w:tcW w:type="dxa" w:w="1134"/>
            <w:shd w:val="clear" w:color="auto" w:fill="9B1C2E"/>
          </w:tcPr>
          <w:p>
            <w:pPr>
              <w:spacing w:after="20" w:line="240" w:lineRule="auto"/>
              <w:jc w:val="center"/>
            </w:pPr>
            <w:r/>
            <w:r>
              <w:rPr>
                <w:b/>
                <w:color w:val="FFFFFF"/>
                <w:sz w:val="18"/>
              </w:rPr>
              <w:t>FP</w:t>
            </w:r>
          </w:p>
        </w:tc>
        <w:tc>
          <w:tcPr>
            <w:tcW w:type="dxa" w:w="1134"/>
            <w:shd w:val="clear" w:color="auto" w:fill="9B1C2E"/>
          </w:tcPr>
          <w:p>
            <w:pPr>
              <w:spacing w:after="20" w:line="240" w:lineRule="auto"/>
              <w:jc w:val="center"/>
            </w:pPr>
            <w:r/>
            <w:r>
              <w:rPr>
                <w:b/>
                <w:color w:val="FFFFFF"/>
                <w:sz w:val="18"/>
              </w:rPr>
              <w:t>FN</w:t>
            </w:r>
          </w:p>
        </w:tc>
        <w:tc>
          <w:tcPr>
            <w:tcW w:type="dxa" w:w="1134"/>
            <w:shd w:val="clear" w:color="auto" w:fill="9B1C2E"/>
          </w:tcPr>
          <w:p>
            <w:pPr>
              <w:spacing w:after="20" w:line="240" w:lineRule="auto"/>
              <w:jc w:val="center"/>
            </w:pPr>
            <w:r/>
            <w:r>
              <w:rPr>
                <w:b/>
                <w:color w:val="FFFFFF"/>
                <w:sz w:val="18"/>
              </w:rPr>
              <w:t>VP</w:t>
            </w:r>
          </w:p>
        </w:tc>
      </w:tr>
      <w:tr>
        <w:tc>
          <w:tcPr>
            <w:tcW w:type="dxa" w:w="2551"/>
          </w:tcPr>
          <w:p>
            <w:pPr>
              <w:spacing w:after="20" w:line="240" w:lineRule="auto"/>
              <w:jc w:val="left"/>
            </w:pPr>
            <w:r/>
            <w:r>
              <w:rPr>
                <w:sz w:val="18"/>
              </w:rPr>
              <w:t>KNN</w:t>
            </w:r>
          </w:p>
        </w:tc>
        <w:tc>
          <w:tcPr>
            <w:tcW w:type="dxa" w:w="1134"/>
          </w:tcPr>
          <w:p>
            <w:pPr>
              <w:spacing w:after="20" w:line="240" w:lineRule="auto"/>
              <w:jc w:val="center"/>
            </w:pPr>
            <w:r/>
            <w:r>
              <w:rPr>
                <w:sz w:val="18"/>
              </w:rPr>
              <w:t>561</w:t>
            </w:r>
          </w:p>
        </w:tc>
        <w:tc>
          <w:tcPr>
            <w:tcW w:type="dxa" w:w="1134"/>
          </w:tcPr>
          <w:p>
            <w:pPr>
              <w:spacing w:after="20" w:line="240" w:lineRule="auto"/>
              <w:jc w:val="center"/>
            </w:pPr>
            <w:r/>
            <w:r>
              <w:rPr>
                <w:sz w:val="18"/>
              </w:rPr>
              <w:t>24</w:t>
            </w:r>
          </w:p>
        </w:tc>
        <w:tc>
          <w:tcPr>
            <w:tcW w:type="dxa" w:w="1134"/>
          </w:tcPr>
          <w:p>
            <w:pPr>
              <w:spacing w:after="20" w:line="240" w:lineRule="auto"/>
              <w:jc w:val="center"/>
            </w:pPr>
            <w:r/>
            <w:r>
              <w:rPr>
                <w:sz w:val="18"/>
              </w:rPr>
              <w:t>59</w:t>
            </w:r>
          </w:p>
        </w:tc>
        <w:tc>
          <w:tcPr>
            <w:tcW w:type="dxa" w:w="1134"/>
          </w:tcPr>
          <w:p>
            <w:pPr>
              <w:spacing w:after="20" w:line="240" w:lineRule="auto"/>
              <w:jc w:val="center"/>
            </w:pPr>
            <w:r/>
            <w:r>
              <w:rPr>
                <w:sz w:val="18"/>
              </w:rPr>
              <w:t>92</w:t>
            </w:r>
          </w:p>
        </w:tc>
      </w:tr>
      <w:tr>
        <w:tc>
          <w:tcPr>
            <w:tcW w:type="dxa" w:w="2551"/>
            <w:shd w:val="clear" w:color="auto" w:fill="F2F2F2"/>
          </w:tcPr>
          <w:p>
            <w:pPr>
              <w:spacing w:after="20" w:line="240" w:lineRule="auto"/>
              <w:jc w:val="left"/>
            </w:pPr>
            <w:r/>
            <w:r>
              <w:rPr>
                <w:sz w:val="18"/>
              </w:rPr>
              <w:t>Árvore de Decisão</w:t>
            </w:r>
          </w:p>
        </w:tc>
        <w:tc>
          <w:tcPr>
            <w:tcW w:type="dxa" w:w="1134"/>
            <w:shd w:val="clear" w:color="auto" w:fill="F2F2F2"/>
          </w:tcPr>
          <w:p>
            <w:pPr>
              <w:spacing w:after="20" w:line="240" w:lineRule="auto"/>
              <w:jc w:val="center"/>
            </w:pPr>
            <w:r/>
            <w:r>
              <w:rPr>
                <w:sz w:val="18"/>
              </w:rPr>
              <w:t>563</w:t>
            </w:r>
          </w:p>
        </w:tc>
        <w:tc>
          <w:tcPr>
            <w:tcW w:type="dxa" w:w="1134"/>
            <w:shd w:val="clear" w:color="auto" w:fill="F2F2F2"/>
          </w:tcPr>
          <w:p>
            <w:pPr>
              <w:spacing w:after="20" w:line="240" w:lineRule="auto"/>
              <w:jc w:val="center"/>
            </w:pPr>
            <w:r/>
            <w:r>
              <w:rPr>
                <w:sz w:val="18"/>
              </w:rPr>
              <w:t>22</w:t>
            </w:r>
          </w:p>
        </w:tc>
        <w:tc>
          <w:tcPr>
            <w:tcW w:type="dxa" w:w="1134"/>
            <w:shd w:val="clear" w:color="auto" w:fill="F2F2F2"/>
          </w:tcPr>
          <w:p>
            <w:pPr>
              <w:spacing w:after="20" w:line="240" w:lineRule="auto"/>
              <w:jc w:val="center"/>
            </w:pPr>
            <w:r/>
            <w:r>
              <w:rPr>
                <w:sz w:val="18"/>
              </w:rPr>
              <w:t>21</w:t>
            </w:r>
          </w:p>
        </w:tc>
        <w:tc>
          <w:tcPr>
            <w:tcW w:type="dxa" w:w="1134"/>
            <w:shd w:val="clear" w:color="auto" w:fill="F2F2F2"/>
          </w:tcPr>
          <w:p>
            <w:pPr>
              <w:spacing w:after="20" w:line="240" w:lineRule="auto"/>
              <w:jc w:val="center"/>
            </w:pPr>
            <w:r/>
            <w:r>
              <w:rPr>
                <w:sz w:val="18"/>
              </w:rPr>
              <w:t>130</w:t>
            </w:r>
          </w:p>
        </w:tc>
      </w:tr>
      <w:tr>
        <w:tc>
          <w:tcPr>
            <w:tcW w:type="dxa" w:w="2551"/>
          </w:tcPr>
          <w:p>
            <w:pPr>
              <w:spacing w:after="20" w:line="240" w:lineRule="auto"/>
              <w:jc w:val="left"/>
            </w:pPr>
            <w:r/>
            <w:r>
              <w:rPr>
                <w:sz w:val="18"/>
              </w:rPr>
              <w:t>K-Means (classificador)</w:t>
            </w:r>
          </w:p>
        </w:tc>
        <w:tc>
          <w:tcPr>
            <w:tcW w:type="dxa" w:w="1134"/>
          </w:tcPr>
          <w:p>
            <w:pPr>
              <w:spacing w:after="20" w:line="240" w:lineRule="auto"/>
              <w:jc w:val="center"/>
            </w:pPr>
            <w:r/>
            <w:r>
              <w:rPr>
                <w:sz w:val="18"/>
              </w:rPr>
              <w:t>564</w:t>
            </w:r>
          </w:p>
        </w:tc>
        <w:tc>
          <w:tcPr>
            <w:tcW w:type="dxa" w:w="1134"/>
          </w:tcPr>
          <w:p>
            <w:pPr>
              <w:spacing w:after="20" w:line="240" w:lineRule="auto"/>
              <w:jc w:val="center"/>
            </w:pPr>
            <w:r/>
            <w:r>
              <w:rPr>
                <w:sz w:val="18"/>
              </w:rPr>
              <w:t>21</w:t>
            </w:r>
          </w:p>
        </w:tc>
        <w:tc>
          <w:tcPr>
            <w:tcW w:type="dxa" w:w="1134"/>
          </w:tcPr>
          <w:p>
            <w:pPr>
              <w:spacing w:after="20" w:line="240" w:lineRule="auto"/>
              <w:jc w:val="center"/>
            </w:pPr>
            <w:r/>
            <w:r>
              <w:rPr>
                <w:sz w:val="18"/>
              </w:rPr>
              <w:t>127</w:t>
            </w:r>
          </w:p>
        </w:tc>
        <w:tc>
          <w:tcPr>
            <w:tcW w:type="dxa" w:w="1134"/>
          </w:tcPr>
          <w:p>
            <w:pPr>
              <w:spacing w:after="20" w:line="240" w:lineRule="auto"/>
              <w:jc w:val="center"/>
            </w:pPr>
            <w:r/>
            <w:r>
              <w:rPr>
                <w:sz w:val="18"/>
              </w:rPr>
              <w:t>24</w:t>
            </w:r>
          </w:p>
        </w:tc>
      </w:tr>
      <w:tr>
        <w:tc>
          <w:tcPr>
            <w:tcW w:type="dxa" w:w="2551"/>
            <w:shd w:val="clear" w:color="auto" w:fill="F2F2F2"/>
          </w:tcPr>
          <w:p>
            <w:pPr>
              <w:spacing w:after="20" w:line="240" w:lineRule="auto"/>
              <w:jc w:val="left"/>
            </w:pPr>
            <w:r/>
            <w:r>
              <w:rPr>
                <w:sz w:val="18"/>
              </w:rPr>
              <w:t>Regressão Logística</w:t>
            </w:r>
          </w:p>
        </w:tc>
        <w:tc>
          <w:tcPr>
            <w:tcW w:type="dxa" w:w="1134"/>
            <w:shd w:val="clear" w:color="auto" w:fill="F2F2F2"/>
          </w:tcPr>
          <w:p>
            <w:pPr>
              <w:spacing w:after="20" w:line="240" w:lineRule="auto"/>
              <w:jc w:val="center"/>
            </w:pPr>
            <w:r/>
            <w:r>
              <w:rPr>
                <w:sz w:val="18"/>
              </w:rPr>
              <w:t>569</w:t>
            </w:r>
          </w:p>
        </w:tc>
        <w:tc>
          <w:tcPr>
            <w:tcW w:type="dxa" w:w="1134"/>
            <w:shd w:val="clear" w:color="auto" w:fill="F2F2F2"/>
          </w:tcPr>
          <w:p>
            <w:pPr>
              <w:spacing w:after="20" w:line="240" w:lineRule="auto"/>
              <w:jc w:val="center"/>
            </w:pPr>
            <w:r/>
            <w:r>
              <w:rPr>
                <w:sz w:val="18"/>
              </w:rPr>
              <w:t>16</w:t>
            </w:r>
          </w:p>
        </w:tc>
        <w:tc>
          <w:tcPr>
            <w:tcW w:type="dxa" w:w="1134"/>
            <w:shd w:val="clear" w:color="auto" w:fill="F2F2F2"/>
          </w:tcPr>
          <w:p>
            <w:pPr>
              <w:spacing w:after="20" w:line="240" w:lineRule="auto"/>
              <w:jc w:val="center"/>
            </w:pPr>
            <w:r/>
            <w:r>
              <w:rPr>
                <w:sz w:val="18"/>
              </w:rPr>
              <w:t>127</w:t>
            </w:r>
          </w:p>
        </w:tc>
        <w:tc>
          <w:tcPr>
            <w:tcW w:type="dxa" w:w="1134"/>
            <w:shd w:val="clear" w:color="auto" w:fill="F2F2F2"/>
          </w:tcPr>
          <w:p>
            <w:pPr>
              <w:spacing w:after="20" w:line="240" w:lineRule="auto"/>
              <w:jc w:val="center"/>
            </w:pPr>
            <w:r/>
            <w:r>
              <w:rPr>
                <w:sz w:val="18"/>
              </w:rPr>
              <w:t>24</w:t>
            </w:r>
          </w:p>
        </w:tc>
      </w:tr>
      <w:tr>
        <w:tc>
          <w:tcPr>
            <w:tcW w:type="dxa" w:w="2551"/>
          </w:tcPr>
          <w:p>
            <w:pPr>
              <w:spacing w:after="20" w:line="240" w:lineRule="auto"/>
              <w:jc w:val="left"/>
            </w:pPr>
            <w:r/>
            <w:r>
              <w:rPr>
                <w:sz w:val="18"/>
              </w:rPr>
              <w:t>Naive Bayes</w:t>
            </w:r>
          </w:p>
        </w:tc>
        <w:tc>
          <w:tcPr>
            <w:tcW w:type="dxa" w:w="1134"/>
          </w:tcPr>
          <w:p>
            <w:pPr>
              <w:spacing w:after="20" w:line="240" w:lineRule="auto"/>
              <w:jc w:val="center"/>
            </w:pPr>
            <w:r/>
            <w:r>
              <w:rPr>
                <w:sz w:val="18"/>
              </w:rPr>
              <w:t>271</w:t>
            </w:r>
          </w:p>
        </w:tc>
        <w:tc>
          <w:tcPr>
            <w:tcW w:type="dxa" w:w="1134"/>
          </w:tcPr>
          <w:p>
            <w:pPr>
              <w:spacing w:after="20" w:line="240" w:lineRule="auto"/>
              <w:jc w:val="center"/>
            </w:pPr>
            <w:r/>
            <w:r>
              <w:rPr>
                <w:sz w:val="18"/>
              </w:rPr>
              <w:t>314</w:t>
            </w:r>
          </w:p>
        </w:tc>
        <w:tc>
          <w:tcPr>
            <w:tcW w:type="dxa" w:w="1134"/>
          </w:tcPr>
          <w:p>
            <w:pPr>
              <w:spacing w:after="20" w:line="240" w:lineRule="auto"/>
              <w:jc w:val="center"/>
            </w:pPr>
            <w:r/>
            <w:r>
              <w:rPr>
                <w:sz w:val="18"/>
              </w:rPr>
              <w:t>30</w:t>
            </w:r>
          </w:p>
        </w:tc>
        <w:tc>
          <w:tcPr>
            <w:tcW w:type="dxa" w:w="1134"/>
          </w:tcPr>
          <w:p>
            <w:pPr>
              <w:spacing w:after="20" w:line="240" w:lineRule="auto"/>
              <w:jc w:val="center"/>
            </w:pPr>
            <w:r/>
            <w:r>
              <w:rPr>
                <w:sz w:val="18"/>
              </w:rPr>
              <w:t>121</w:t>
            </w:r>
          </w:p>
        </w:tc>
      </w:tr>
      <w:tr>
        <w:tc>
          <w:tcPr>
            <w:tcW w:type="dxa" w:w="2551"/>
            <w:shd w:val="clear" w:color="auto" w:fill="F2F2F2"/>
          </w:tcPr>
          <w:p>
            <w:pPr>
              <w:spacing w:after="20" w:line="240" w:lineRule="auto"/>
              <w:jc w:val="left"/>
            </w:pPr>
            <w:r/>
            <w:r>
              <w:rPr>
                <w:sz w:val="18"/>
              </w:rPr>
              <w:t>MLP</w:t>
            </w:r>
          </w:p>
        </w:tc>
        <w:tc>
          <w:tcPr>
            <w:tcW w:type="dxa" w:w="1134"/>
            <w:shd w:val="clear" w:color="auto" w:fill="F2F2F2"/>
          </w:tcPr>
          <w:p>
            <w:pPr>
              <w:spacing w:after="20" w:line="240" w:lineRule="auto"/>
              <w:jc w:val="center"/>
            </w:pPr>
            <w:r/>
            <w:r>
              <w:rPr>
                <w:sz w:val="18"/>
              </w:rPr>
              <w:t>468</w:t>
            </w:r>
          </w:p>
        </w:tc>
        <w:tc>
          <w:tcPr>
            <w:tcW w:type="dxa" w:w="1134"/>
            <w:shd w:val="clear" w:color="auto" w:fill="F2F2F2"/>
          </w:tcPr>
          <w:p>
            <w:pPr>
              <w:spacing w:after="20" w:line="240" w:lineRule="auto"/>
              <w:jc w:val="center"/>
            </w:pPr>
            <w:r/>
            <w:r>
              <w:rPr>
                <w:sz w:val="18"/>
              </w:rPr>
              <w:t>117</w:t>
            </w:r>
          </w:p>
        </w:tc>
        <w:tc>
          <w:tcPr>
            <w:tcW w:type="dxa" w:w="1134"/>
            <w:shd w:val="clear" w:color="auto" w:fill="F2F2F2"/>
          </w:tcPr>
          <w:p>
            <w:pPr>
              <w:spacing w:after="20" w:line="240" w:lineRule="auto"/>
              <w:jc w:val="center"/>
            </w:pPr>
            <w:r/>
            <w:r>
              <w:rPr>
                <w:sz w:val="18"/>
              </w:rPr>
              <w:t>38</w:t>
            </w:r>
          </w:p>
        </w:tc>
        <w:tc>
          <w:tcPr>
            <w:tcW w:type="dxa" w:w="1134"/>
            <w:shd w:val="clear" w:color="auto" w:fill="F2F2F2"/>
          </w:tcPr>
          <w:p>
            <w:pPr>
              <w:spacing w:after="20" w:line="240" w:lineRule="auto"/>
              <w:jc w:val="center"/>
            </w:pPr>
            <w:r/>
            <w:r>
              <w:rPr>
                <w:sz w:val="18"/>
              </w:rPr>
              <w:t>113</w:t>
            </w:r>
          </w:p>
        </w:tc>
      </w:tr>
      <w:tr>
        <w:tc>
          <w:tcPr>
            <w:tcW w:type="dxa" w:w="2551"/>
          </w:tcPr>
          <w:p>
            <w:pPr>
              <w:spacing w:after="20" w:line="240" w:lineRule="auto"/>
              <w:jc w:val="left"/>
            </w:pPr>
            <w:r/>
            <w:r>
              <w:rPr>
                <w:sz w:val="18"/>
              </w:rPr>
              <w:t>SVM</w:t>
            </w:r>
          </w:p>
        </w:tc>
        <w:tc>
          <w:tcPr>
            <w:tcW w:type="dxa" w:w="1134"/>
          </w:tcPr>
          <w:p>
            <w:pPr>
              <w:spacing w:after="20" w:line="240" w:lineRule="auto"/>
              <w:jc w:val="center"/>
            </w:pPr>
            <w:r/>
            <w:r>
              <w:rPr>
                <w:sz w:val="18"/>
              </w:rPr>
              <w:t>551</w:t>
            </w:r>
          </w:p>
        </w:tc>
        <w:tc>
          <w:tcPr>
            <w:tcW w:type="dxa" w:w="1134"/>
          </w:tcPr>
          <w:p>
            <w:pPr>
              <w:spacing w:after="20" w:line="240" w:lineRule="auto"/>
              <w:jc w:val="center"/>
            </w:pPr>
            <w:r/>
            <w:r>
              <w:rPr>
                <w:sz w:val="18"/>
              </w:rPr>
              <w:t>34</w:t>
            </w:r>
          </w:p>
        </w:tc>
        <w:tc>
          <w:tcPr>
            <w:tcW w:type="dxa" w:w="1134"/>
          </w:tcPr>
          <w:p>
            <w:pPr>
              <w:spacing w:after="20" w:line="240" w:lineRule="auto"/>
              <w:jc w:val="center"/>
            </w:pPr>
            <w:r/>
            <w:r>
              <w:rPr>
                <w:sz w:val="18"/>
              </w:rPr>
              <w:t>55</w:t>
            </w:r>
          </w:p>
        </w:tc>
        <w:tc>
          <w:tcPr>
            <w:tcW w:type="dxa" w:w="1134"/>
          </w:tcPr>
          <w:p>
            <w:pPr>
              <w:spacing w:after="20" w:line="240" w:lineRule="auto"/>
              <w:jc w:val="center"/>
            </w:pPr>
            <w:r/>
            <w:r>
              <w:rPr>
                <w:sz w:val="18"/>
              </w:rPr>
              <w:t>96</w:t>
            </w:r>
          </w:p>
        </w:tc>
      </w:tr>
      <w:tr>
        <w:tc>
          <w:tcPr>
            <w:tcW w:type="dxa" w:w="2551"/>
            <w:shd w:val="clear" w:color="auto" w:fill="F2F2F2"/>
          </w:tcPr>
          <w:p>
            <w:pPr>
              <w:spacing w:after="20" w:line="240" w:lineRule="auto"/>
              <w:jc w:val="left"/>
            </w:pPr>
            <w:r/>
            <w:r>
              <w:rPr>
                <w:sz w:val="18"/>
              </w:rPr>
              <w:t>Random Forest</w:t>
            </w:r>
          </w:p>
        </w:tc>
        <w:tc>
          <w:tcPr>
            <w:tcW w:type="dxa" w:w="1134"/>
            <w:shd w:val="clear" w:color="auto" w:fill="F2F2F2"/>
          </w:tcPr>
          <w:p>
            <w:pPr>
              <w:spacing w:after="20" w:line="240" w:lineRule="auto"/>
              <w:jc w:val="center"/>
            </w:pPr>
            <w:r/>
            <w:r>
              <w:rPr>
                <w:sz w:val="18"/>
              </w:rPr>
              <w:t>573</w:t>
            </w:r>
          </w:p>
        </w:tc>
        <w:tc>
          <w:tcPr>
            <w:tcW w:type="dxa" w:w="1134"/>
            <w:shd w:val="clear" w:color="auto" w:fill="F2F2F2"/>
          </w:tcPr>
          <w:p>
            <w:pPr>
              <w:spacing w:after="20" w:line="240" w:lineRule="auto"/>
              <w:jc w:val="center"/>
            </w:pPr>
            <w:r/>
            <w:r>
              <w:rPr>
                <w:sz w:val="18"/>
              </w:rPr>
              <w:t>12</w:t>
            </w:r>
          </w:p>
        </w:tc>
        <w:tc>
          <w:tcPr>
            <w:tcW w:type="dxa" w:w="1134"/>
            <w:shd w:val="clear" w:color="auto" w:fill="F2F2F2"/>
          </w:tcPr>
          <w:p>
            <w:pPr>
              <w:spacing w:after="20" w:line="240" w:lineRule="auto"/>
              <w:jc w:val="center"/>
            </w:pPr>
            <w:r/>
            <w:r>
              <w:rPr>
                <w:sz w:val="18"/>
              </w:rPr>
              <w:t>25</w:t>
            </w:r>
          </w:p>
        </w:tc>
        <w:tc>
          <w:tcPr>
            <w:tcW w:type="dxa" w:w="1134"/>
            <w:shd w:val="clear" w:color="auto" w:fill="F2F2F2"/>
          </w:tcPr>
          <w:p>
            <w:pPr>
              <w:spacing w:after="20" w:line="240" w:lineRule="auto"/>
              <w:jc w:val="center"/>
            </w:pPr>
            <w:r/>
            <w:r>
              <w:rPr>
                <w:sz w:val="18"/>
              </w:rPr>
              <w:t>126</w:t>
            </w:r>
          </w:p>
        </w:tc>
      </w:tr>
      <w:tr>
        <w:tc>
          <w:tcPr>
            <w:tcW w:type="dxa" w:w="2551"/>
          </w:tcPr>
          <w:p>
            <w:pPr>
              <w:spacing w:after="20" w:line="240" w:lineRule="auto"/>
              <w:jc w:val="left"/>
            </w:pPr>
            <w:r/>
            <w:r>
              <w:rPr>
                <w:sz w:val="18"/>
              </w:rPr>
              <w:t>Bagging</w:t>
            </w:r>
          </w:p>
        </w:tc>
        <w:tc>
          <w:tcPr>
            <w:tcW w:type="dxa" w:w="1134"/>
          </w:tcPr>
          <w:p>
            <w:pPr>
              <w:spacing w:after="20" w:line="240" w:lineRule="auto"/>
              <w:jc w:val="center"/>
            </w:pPr>
            <w:r/>
            <w:r>
              <w:rPr>
                <w:sz w:val="18"/>
              </w:rPr>
              <w:t>577</w:t>
            </w:r>
          </w:p>
        </w:tc>
        <w:tc>
          <w:tcPr>
            <w:tcW w:type="dxa" w:w="1134"/>
          </w:tcPr>
          <w:p>
            <w:pPr>
              <w:spacing w:after="20" w:line="240" w:lineRule="auto"/>
              <w:jc w:val="center"/>
            </w:pPr>
            <w:r/>
            <w:r>
              <w:rPr>
                <w:sz w:val="18"/>
              </w:rPr>
              <w:t>8</w:t>
            </w:r>
          </w:p>
        </w:tc>
        <w:tc>
          <w:tcPr>
            <w:tcW w:type="dxa" w:w="1134"/>
          </w:tcPr>
          <w:p>
            <w:pPr>
              <w:spacing w:after="20" w:line="240" w:lineRule="auto"/>
              <w:jc w:val="center"/>
            </w:pPr>
            <w:r/>
            <w:r>
              <w:rPr>
                <w:sz w:val="18"/>
              </w:rPr>
              <w:t>22</w:t>
            </w:r>
          </w:p>
        </w:tc>
        <w:tc>
          <w:tcPr>
            <w:tcW w:type="dxa" w:w="1134"/>
          </w:tcPr>
          <w:p>
            <w:pPr>
              <w:spacing w:after="20" w:line="240" w:lineRule="auto"/>
              <w:jc w:val="center"/>
            </w:pPr>
            <w:r/>
            <w:r>
              <w:rPr>
                <w:sz w:val="18"/>
              </w:rPr>
              <w:t>129</w:t>
            </w:r>
          </w:p>
        </w:tc>
      </w:tr>
      <w:tr>
        <w:tc>
          <w:tcPr>
            <w:tcW w:type="dxa" w:w="2551"/>
            <w:shd w:val="clear" w:color="auto" w:fill="F2F2F2"/>
          </w:tcPr>
          <w:p>
            <w:pPr>
              <w:spacing w:after="20" w:line="240" w:lineRule="auto"/>
              <w:jc w:val="left"/>
            </w:pPr>
            <w:r/>
            <w:r>
              <w:rPr>
                <w:sz w:val="18"/>
              </w:rPr>
              <w:t>AdaBoost</w:t>
            </w:r>
          </w:p>
        </w:tc>
        <w:tc>
          <w:tcPr>
            <w:tcW w:type="dxa" w:w="1134"/>
            <w:shd w:val="clear" w:color="auto" w:fill="F2F2F2"/>
          </w:tcPr>
          <w:p>
            <w:pPr>
              <w:spacing w:after="20" w:line="240" w:lineRule="auto"/>
              <w:jc w:val="center"/>
            </w:pPr>
            <w:r/>
            <w:r>
              <w:rPr>
                <w:sz w:val="18"/>
              </w:rPr>
              <w:t>572</w:t>
            </w:r>
          </w:p>
        </w:tc>
        <w:tc>
          <w:tcPr>
            <w:tcW w:type="dxa" w:w="1134"/>
            <w:shd w:val="clear" w:color="auto" w:fill="F2F2F2"/>
          </w:tcPr>
          <w:p>
            <w:pPr>
              <w:spacing w:after="20" w:line="240" w:lineRule="auto"/>
              <w:jc w:val="center"/>
            </w:pPr>
            <w:r/>
            <w:r>
              <w:rPr>
                <w:sz w:val="18"/>
              </w:rPr>
              <w:t>13</w:t>
            </w:r>
          </w:p>
        </w:tc>
        <w:tc>
          <w:tcPr>
            <w:tcW w:type="dxa" w:w="1134"/>
            <w:shd w:val="clear" w:color="auto" w:fill="F2F2F2"/>
          </w:tcPr>
          <w:p>
            <w:pPr>
              <w:spacing w:after="20" w:line="240" w:lineRule="auto"/>
              <w:jc w:val="center"/>
            </w:pPr>
            <w:r/>
            <w:r>
              <w:rPr>
                <w:sz w:val="18"/>
              </w:rPr>
              <w:t>27</w:t>
            </w:r>
          </w:p>
        </w:tc>
        <w:tc>
          <w:tcPr>
            <w:tcW w:type="dxa" w:w="1134"/>
            <w:shd w:val="clear" w:color="auto" w:fill="F2F2F2"/>
          </w:tcPr>
          <w:p>
            <w:pPr>
              <w:spacing w:after="20" w:line="240" w:lineRule="auto"/>
              <w:jc w:val="center"/>
            </w:pPr>
            <w:r/>
            <w:r>
              <w:rPr>
                <w:sz w:val="18"/>
              </w:rPr>
              <w:t>124</w:t>
            </w:r>
          </w:p>
        </w:tc>
      </w:tr>
      <w:tr>
        <w:tc>
          <w:tcPr>
            <w:tcW w:type="dxa" w:w="2551"/>
          </w:tcPr>
          <w:p>
            <w:pPr>
              <w:spacing w:after="20" w:line="240" w:lineRule="auto"/>
              <w:jc w:val="left"/>
            </w:pPr>
            <w:r/>
            <w:r>
              <w:rPr>
                <w:sz w:val="18"/>
              </w:rPr>
              <w:t>Gradient Boosting</w:t>
            </w:r>
          </w:p>
        </w:tc>
        <w:tc>
          <w:tcPr>
            <w:tcW w:type="dxa" w:w="1134"/>
          </w:tcPr>
          <w:p>
            <w:pPr>
              <w:spacing w:after="20" w:line="240" w:lineRule="auto"/>
              <w:jc w:val="center"/>
            </w:pPr>
            <w:r/>
            <w:r>
              <w:rPr>
                <w:sz w:val="18"/>
              </w:rPr>
              <w:t>576</w:t>
            </w:r>
          </w:p>
        </w:tc>
        <w:tc>
          <w:tcPr>
            <w:tcW w:type="dxa" w:w="1134"/>
          </w:tcPr>
          <w:p>
            <w:pPr>
              <w:spacing w:after="20" w:line="240" w:lineRule="auto"/>
              <w:jc w:val="center"/>
            </w:pPr>
            <w:r/>
            <w:r>
              <w:rPr>
                <w:sz w:val="18"/>
              </w:rPr>
              <w:t>9</w:t>
            </w:r>
          </w:p>
        </w:tc>
        <w:tc>
          <w:tcPr>
            <w:tcW w:type="dxa" w:w="1134"/>
          </w:tcPr>
          <w:p>
            <w:pPr>
              <w:spacing w:after="20" w:line="240" w:lineRule="auto"/>
              <w:jc w:val="center"/>
            </w:pPr>
            <w:r/>
            <w:r>
              <w:rPr>
                <w:sz w:val="18"/>
              </w:rPr>
              <w:t>27</w:t>
            </w:r>
          </w:p>
        </w:tc>
        <w:tc>
          <w:tcPr>
            <w:tcW w:type="dxa" w:w="1134"/>
          </w:tcPr>
          <w:p>
            <w:pPr>
              <w:spacing w:after="20" w:line="240" w:lineRule="auto"/>
              <w:jc w:val="center"/>
            </w:pPr>
            <w:r/>
            <w:r>
              <w:rPr>
                <w:sz w:val="18"/>
              </w:rPr>
              <w:t>124</w:t>
            </w:r>
          </w:p>
        </w:tc>
      </w:tr>
      <w:tr>
        <w:tc>
          <w:tcPr>
            <w:tcW w:type="dxa" w:w="2551"/>
            <w:shd w:val="clear" w:color="auto" w:fill="F2F2F2"/>
          </w:tcPr>
          <w:p>
            <w:pPr>
              <w:spacing w:after="20" w:line="240" w:lineRule="auto"/>
              <w:jc w:val="left"/>
            </w:pPr>
            <w:r/>
            <w:r>
              <w:rPr>
                <w:sz w:val="18"/>
              </w:rPr>
              <w:t>Extra Trees</w:t>
            </w:r>
          </w:p>
        </w:tc>
        <w:tc>
          <w:tcPr>
            <w:tcW w:type="dxa" w:w="1134"/>
            <w:shd w:val="clear" w:color="auto" w:fill="F2F2F2"/>
          </w:tcPr>
          <w:p>
            <w:pPr>
              <w:spacing w:after="20" w:line="240" w:lineRule="auto"/>
              <w:jc w:val="center"/>
            </w:pPr>
            <w:r/>
            <w:r>
              <w:rPr>
                <w:sz w:val="18"/>
              </w:rPr>
              <w:t>575</w:t>
            </w:r>
          </w:p>
        </w:tc>
        <w:tc>
          <w:tcPr>
            <w:tcW w:type="dxa" w:w="1134"/>
            <w:shd w:val="clear" w:color="auto" w:fill="F2F2F2"/>
          </w:tcPr>
          <w:p>
            <w:pPr>
              <w:spacing w:after="20" w:line="240" w:lineRule="auto"/>
              <w:jc w:val="center"/>
            </w:pPr>
            <w:r/>
            <w:r>
              <w:rPr>
                <w:sz w:val="18"/>
              </w:rPr>
              <w:t>10</w:t>
            </w:r>
          </w:p>
        </w:tc>
        <w:tc>
          <w:tcPr>
            <w:tcW w:type="dxa" w:w="1134"/>
            <w:shd w:val="clear" w:color="auto" w:fill="F2F2F2"/>
          </w:tcPr>
          <w:p>
            <w:pPr>
              <w:spacing w:after="20" w:line="240" w:lineRule="auto"/>
              <w:jc w:val="center"/>
            </w:pPr>
            <w:r/>
            <w:r>
              <w:rPr>
                <w:sz w:val="18"/>
              </w:rPr>
              <w:t>21</w:t>
            </w:r>
          </w:p>
        </w:tc>
        <w:tc>
          <w:tcPr>
            <w:tcW w:type="dxa" w:w="1134"/>
            <w:shd w:val="clear" w:color="auto" w:fill="F2F2F2"/>
          </w:tcPr>
          <w:p>
            <w:pPr>
              <w:spacing w:after="20" w:line="240" w:lineRule="auto"/>
              <w:jc w:val="center"/>
            </w:pPr>
            <w:r/>
            <w:r>
              <w:rPr>
                <w:sz w:val="18"/>
              </w:rPr>
              <w:t>130</w:t>
            </w:r>
          </w:p>
        </w:tc>
      </w:tr>
    </w:tbl>
    <w:p>
      <w:pPr>
        <w:spacing w:after="80"/>
      </w:pPr>
    </w:p>
    <w:p>
      <w:pPr>
        <w:pStyle w:val="Heading2"/>
      </w:pPr>
      <w:r>
        <w:t>3.3 Importância das variáveis</w:t>
      </w:r>
    </w:p>
    <w:p>
      <w:pPr>
        <w:jc w:val="both"/>
      </w:pPr>
      <w:r>
        <w:rPr>
          <w:b w:val="0"/>
          <w:i w:val="0"/>
        </w:rPr>
        <w:t>As importâncias de Gini do Extra Trees e da Random Forest (Figuras 16 e 17) concordam no essencial: x9 e x5 dominam em ambos os modelos (x9: 0,248 no Extra Trees e 0,207 na Random Forest; x5: 0,142 e 0,176), seguidas das restantes variáveis contínuas (x1, x2, x3, x6, x7 e x8, com valores entre 0,03 e 0,11), e as variáveis discretas com maior importância são d11 e d5, as mesmas que se destacaram na análise exploratória. É notável que x1, x2 e x8, sem associação univariada significativa com y, tenham importância apreciável: isto é compatível com contributos através de interações com outras variáveis, mas também com um enviesamento conhecido da importância de Gini, que favorece variáveis com mais valores possíveis e é calculada sobre os dados de treino. Deve, por isso, ser lida como indicativa e não como efeito causal. O indicador de x9 em falta tem importância baixa (0,009), já que a informação é em grande parte redundante com a própria x9.</w:t>
      </w:r>
    </w:p>
    <w:p>
      <w:pPr>
        <w:keepNext/>
        <w:jc w:val="center"/>
      </w:pPr>
      <w:r>
        <w:drawing>
          <wp:inline xmlns:a="http://schemas.openxmlformats.org/drawingml/2006/main" xmlns:pic="http://schemas.openxmlformats.org/drawingml/2006/picture">
            <wp:extent cx="3600000" cy="4254545"/>
            <wp:docPr id="16" name="Picture 16"/>
            <wp:cNvGraphicFramePr>
              <a:graphicFrameLocks noChangeAspect="1"/>
            </wp:cNvGraphicFramePr>
            <a:graphic>
              <a:graphicData uri="http://schemas.openxmlformats.org/drawingml/2006/picture">
                <pic:pic>
                  <pic:nvPicPr>
                    <pic:cNvPr id="0" name="importance_Extra_Trees.png"/>
                    <pic:cNvPicPr/>
                  </pic:nvPicPr>
                  <pic:blipFill>
                    <a:blip r:embed="rId24"/>
                    <a:stretch>
                      <a:fillRect/>
                    </a:stretch>
                  </pic:blipFill>
                  <pic:spPr>
                    <a:xfrm>
                      <a:off x="0" y="0"/>
                      <a:ext cx="3600000" cy="4254545"/>
                    </a:xfrm>
                    <a:prstGeom prst="rect"/>
                  </pic:spPr>
                </pic:pic>
              </a:graphicData>
            </a:graphic>
          </wp:inline>
        </w:drawing>
      </w:r>
    </w:p>
    <w:p>
      <w:pPr>
        <w:spacing w:after="200"/>
        <w:jc w:val="center"/>
      </w:pPr>
      <w:r>
        <w:rPr>
          <w:i/>
          <w:sz w:val="19"/>
        </w:rPr>
        <w:t>Figura 16 – Importância das variáveis no Extra Trees (ajustado ao treino interno).</w:t>
      </w:r>
    </w:p>
    <w:p>
      <w:pPr>
        <w:keepNext/>
        <w:jc w:val="center"/>
      </w:pPr>
      <w:r>
        <w:drawing>
          <wp:inline xmlns:a="http://schemas.openxmlformats.org/drawingml/2006/main" xmlns:pic="http://schemas.openxmlformats.org/drawingml/2006/picture">
            <wp:extent cx="3600000" cy="4254545"/>
            <wp:docPr id="17" name="Picture 17"/>
            <wp:cNvGraphicFramePr>
              <a:graphicFrameLocks noChangeAspect="1"/>
            </wp:cNvGraphicFramePr>
            <a:graphic>
              <a:graphicData uri="http://schemas.openxmlformats.org/drawingml/2006/picture">
                <pic:pic>
                  <pic:nvPicPr>
                    <pic:cNvPr id="0" name="importance_Random_Forest.png"/>
                    <pic:cNvPicPr/>
                  </pic:nvPicPr>
                  <pic:blipFill>
                    <a:blip r:embed="rId25"/>
                    <a:stretch>
                      <a:fillRect/>
                    </a:stretch>
                  </pic:blipFill>
                  <pic:spPr>
                    <a:xfrm>
                      <a:off x="0" y="0"/>
                      <a:ext cx="3600000" cy="4254545"/>
                    </a:xfrm>
                    <a:prstGeom prst="rect"/>
                  </pic:spPr>
                </pic:pic>
              </a:graphicData>
            </a:graphic>
          </wp:inline>
        </w:drawing>
      </w:r>
    </w:p>
    <w:p>
      <w:pPr>
        <w:spacing w:after="200"/>
        <w:jc w:val="center"/>
      </w:pPr>
      <w:r>
        <w:rPr>
          <w:i/>
          <w:sz w:val="19"/>
        </w:rPr>
        <w:t>Figura 17 – Importância das variáveis na Random Forest (ajustada ao treino interno).</w:t>
      </w:r>
    </w:p>
    <w:p>
      <w:pPr>
        <w:pStyle w:val="Heading2"/>
      </w:pPr>
      <w:r>
        <w:t>3.4 Verificações de robustez</w:t>
      </w:r>
    </w:p>
    <w:p>
      <w:pPr>
        <w:jc w:val="both"/>
      </w:pPr>
      <w:r>
        <w:rPr>
          <w:b w:val="0"/>
          <w:i w:val="0"/>
        </w:rPr>
      </w:r>
      <w:r>
        <w:rPr>
          <w:b/>
          <w:i w:val="0"/>
        </w:rPr>
        <w:t>Duplicados e fuga de informação.</w:t>
      </w:r>
      <w:r>
        <w:rPr>
          <w:b w:val="0"/>
          <w:i w:val="0"/>
        </w:rPr>
        <w:t xml:space="preserve"> Como existem registos com vetores de características idênticos, uma validação cruzada simples pode colocar cópias do mesmo registo no treino e no teste, o que inflaria a accuracy de modelos que memorizam, como as árvores profundas e o KNN. No treino interno há 101 registos duplicados e 62 dos 736 registos de validação (8,4%) têm um «gémeo» idêntico no treino interno. Para quantificar o efeito repetiu-se a validação cruzada com </w:t>
      </w:r>
      <w:r>
        <w:rPr>
          <w:b/>
          <w:i w:val="0"/>
        </w:rPr>
        <w:t>StratifiedGroupKFold</w:t>
      </w:r>
      <w:r>
        <w:rPr>
          <w:b w:val="0"/>
          <w:i w:val="0"/>
        </w:rPr>
        <w:t>, que mantém todos os registos idênticos no mesmo fold. Os resultados (Tabela 15) são semelhantes aos da CV simples (diferenças entre −0,5 e +0,4 pontos): Extra Trees 0,950, Random Forest 0,944, Gradient Boosting 0,944 e KNN 0,873 (CV simples: 0,946, 0,943, 0,949 e 0,870). Não há, portanto, sinais de que os duplicados inflacionem a accuracy estimada. A existência de 382 registos de task.csv (10,4%) com gémeo no treino é uma característica do problema e não um erro: nesses casos os modelos de árvores tendem a reproduzir a etiqueta conhecida, o que beneficia a accuracy na competição.</w:t>
      </w:r>
    </w:p>
    <w:p>
      <w:pPr>
        <w:keepNext/>
        <w:spacing w:after="60"/>
        <w:jc w:val="center"/>
      </w:pPr>
      <w:r>
        <w:rPr>
          <w:i/>
          <w:sz w:val="19"/>
        </w:rPr>
        <w:t>Tabela 15 – Accuracy em CV simples e em CV agrupada por registos idênticos.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9B1C2E"/>
          </w:tcPr>
          <w:p>
            <w:pPr>
              <w:spacing w:after="20" w:line="240" w:lineRule="auto"/>
              <w:jc w:val="center"/>
            </w:pPr>
            <w:r/>
            <w:r>
              <w:rPr>
                <w:b/>
                <w:color w:val="FFFFFF"/>
                <w:sz w:val="18"/>
              </w:rPr>
              <w:t>modelo</w:t>
            </w:r>
          </w:p>
        </w:tc>
        <w:tc>
          <w:tcPr>
            <w:tcW w:type="dxa" w:w="2268"/>
            <w:shd w:val="clear" w:color="auto" w:fill="9B1C2E"/>
          </w:tcPr>
          <w:p>
            <w:pPr>
              <w:spacing w:after="20" w:line="240" w:lineRule="auto"/>
              <w:jc w:val="center"/>
            </w:pPr>
            <w:r/>
            <w:r>
              <w:rPr>
                <w:b/>
                <w:color w:val="FFFFFF"/>
                <w:sz w:val="18"/>
              </w:rPr>
              <w:t>accuracy CV simples</w:t>
            </w:r>
          </w:p>
        </w:tc>
        <w:tc>
          <w:tcPr>
            <w:tcW w:type="dxa" w:w="2268"/>
            <w:shd w:val="clear" w:color="auto" w:fill="9B1C2E"/>
          </w:tcPr>
          <w:p>
            <w:pPr>
              <w:spacing w:after="20" w:line="240" w:lineRule="auto"/>
              <w:jc w:val="center"/>
            </w:pPr>
            <w:r/>
            <w:r>
              <w:rPr>
                <w:b/>
                <w:color w:val="FFFFFF"/>
                <w:sz w:val="18"/>
              </w:rPr>
              <w:t>accuracy CV agrupada</w:t>
            </w:r>
          </w:p>
        </w:tc>
      </w:tr>
      <w:tr>
        <w:tc>
          <w:tcPr>
            <w:tcW w:type="dxa" w:w="2835"/>
          </w:tcPr>
          <w:p>
            <w:pPr>
              <w:spacing w:after="20" w:line="240" w:lineRule="auto"/>
              <w:jc w:val="left"/>
            </w:pPr>
            <w:r/>
            <w:r>
              <w:rPr>
                <w:sz w:val="18"/>
              </w:rPr>
              <w:t>Random Forest</w:t>
            </w:r>
          </w:p>
        </w:tc>
        <w:tc>
          <w:tcPr>
            <w:tcW w:type="dxa" w:w="2268"/>
          </w:tcPr>
          <w:p>
            <w:pPr>
              <w:spacing w:after="20" w:line="240" w:lineRule="auto"/>
              <w:jc w:val="center"/>
            </w:pPr>
            <w:r/>
            <w:r>
              <w:rPr>
                <w:sz w:val="18"/>
              </w:rPr>
              <w:t>0,9429</w:t>
            </w:r>
          </w:p>
        </w:tc>
        <w:tc>
          <w:tcPr>
            <w:tcW w:type="dxa" w:w="2268"/>
          </w:tcPr>
          <w:p>
            <w:pPr>
              <w:spacing w:after="20" w:line="240" w:lineRule="auto"/>
              <w:jc w:val="center"/>
            </w:pPr>
            <w:r/>
            <w:r>
              <w:rPr>
                <w:sz w:val="18"/>
              </w:rPr>
              <w:t>0,9439</w:t>
            </w:r>
          </w:p>
        </w:tc>
      </w:tr>
      <w:tr>
        <w:tc>
          <w:tcPr>
            <w:tcW w:type="dxa" w:w="2835"/>
            <w:shd w:val="clear" w:color="auto" w:fill="F2F2F2"/>
          </w:tcPr>
          <w:p>
            <w:pPr>
              <w:spacing w:after="20" w:line="240" w:lineRule="auto"/>
              <w:jc w:val="left"/>
            </w:pPr>
            <w:r/>
            <w:r>
              <w:rPr>
                <w:sz w:val="18"/>
              </w:rPr>
              <w:t>Extra Trees</w:t>
            </w:r>
          </w:p>
        </w:tc>
        <w:tc>
          <w:tcPr>
            <w:tcW w:type="dxa" w:w="2268"/>
            <w:shd w:val="clear" w:color="auto" w:fill="F2F2F2"/>
          </w:tcPr>
          <w:p>
            <w:pPr>
              <w:spacing w:after="20" w:line="240" w:lineRule="auto"/>
              <w:jc w:val="center"/>
            </w:pPr>
            <w:r/>
            <w:r>
              <w:rPr>
                <w:sz w:val="18"/>
              </w:rPr>
              <w:t>0,9463</w:t>
            </w:r>
          </w:p>
        </w:tc>
        <w:tc>
          <w:tcPr>
            <w:tcW w:type="dxa" w:w="2268"/>
            <w:shd w:val="clear" w:color="auto" w:fill="F2F2F2"/>
          </w:tcPr>
          <w:p>
            <w:pPr>
              <w:spacing w:after="20" w:line="240" w:lineRule="auto"/>
              <w:jc w:val="center"/>
            </w:pPr>
            <w:r/>
            <w:r>
              <w:rPr>
                <w:sz w:val="18"/>
              </w:rPr>
              <w:t>0,9503</w:t>
            </w:r>
          </w:p>
        </w:tc>
      </w:tr>
      <w:tr>
        <w:tc>
          <w:tcPr>
            <w:tcW w:type="dxa" w:w="2835"/>
          </w:tcPr>
          <w:p>
            <w:pPr>
              <w:spacing w:after="20" w:line="240" w:lineRule="auto"/>
              <w:jc w:val="left"/>
            </w:pPr>
            <w:r/>
            <w:r>
              <w:rPr>
                <w:sz w:val="18"/>
              </w:rPr>
              <w:t>Gradient Boosting</w:t>
            </w:r>
          </w:p>
        </w:tc>
        <w:tc>
          <w:tcPr>
            <w:tcW w:type="dxa" w:w="2268"/>
          </w:tcPr>
          <w:p>
            <w:pPr>
              <w:spacing w:after="20" w:line="240" w:lineRule="auto"/>
              <w:jc w:val="center"/>
            </w:pPr>
            <w:r/>
            <w:r>
              <w:rPr>
                <w:sz w:val="18"/>
              </w:rPr>
              <w:t>0,9493</w:t>
            </w:r>
          </w:p>
        </w:tc>
        <w:tc>
          <w:tcPr>
            <w:tcW w:type="dxa" w:w="2268"/>
          </w:tcPr>
          <w:p>
            <w:pPr>
              <w:spacing w:after="20" w:line="240" w:lineRule="auto"/>
              <w:jc w:val="center"/>
            </w:pPr>
            <w:r/>
            <w:r>
              <w:rPr>
                <w:sz w:val="18"/>
              </w:rPr>
              <w:t>0,9439</w:t>
            </w:r>
          </w:p>
        </w:tc>
      </w:tr>
      <w:tr>
        <w:tc>
          <w:tcPr>
            <w:tcW w:type="dxa" w:w="2835"/>
            <w:shd w:val="clear" w:color="auto" w:fill="F2F2F2"/>
          </w:tcPr>
          <w:p>
            <w:pPr>
              <w:spacing w:after="20" w:line="240" w:lineRule="auto"/>
              <w:jc w:val="left"/>
            </w:pPr>
            <w:r/>
            <w:r>
              <w:rPr>
                <w:sz w:val="18"/>
              </w:rPr>
              <w:t>KNN</w:t>
            </w:r>
          </w:p>
        </w:tc>
        <w:tc>
          <w:tcPr>
            <w:tcW w:type="dxa" w:w="2268"/>
            <w:shd w:val="clear" w:color="auto" w:fill="F2F2F2"/>
          </w:tcPr>
          <w:p>
            <w:pPr>
              <w:spacing w:after="20" w:line="240" w:lineRule="auto"/>
              <w:jc w:val="center"/>
            </w:pPr>
            <w:r/>
            <w:r>
              <w:rPr>
                <w:sz w:val="18"/>
              </w:rPr>
              <w:t>0,8704</w:t>
            </w:r>
          </w:p>
        </w:tc>
        <w:tc>
          <w:tcPr>
            <w:tcW w:type="dxa" w:w="2268"/>
            <w:shd w:val="clear" w:color="auto" w:fill="F2F2F2"/>
          </w:tcPr>
          <w:p>
            <w:pPr>
              <w:spacing w:after="20" w:line="240" w:lineRule="auto"/>
              <w:jc w:val="center"/>
            </w:pPr>
            <w:r/>
            <w:r>
              <w:rPr>
                <w:sz w:val="18"/>
              </w:rPr>
              <w:t>0,8731</w:t>
            </w:r>
          </w:p>
        </w:tc>
      </w:tr>
    </w:tbl>
    <w:p>
      <w:pPr>
        <w:spacing w:after="80"/>
      </w:pPr>
    </w:p>
    <w:p>
      <w:pPr>
        <w:jc w:val="both"/>
      </w:pPr>
      <w:r>
        <w:rPr>
          <w:b w:val="0"/>
          <w:i w:val="0"/>
        </w:rPr>
      </w:r>
      <w:r>
        <w:rPr>
          <w:b/>
          <w:i w:val="0"/>
        </w:rPr>
        <w:t>Sobreajuste.</w:t>
      </w:r>
      <w:r>
        <w:rPr>
          <w:b w:val="0"/>
          <w:i w:val="0"/>
        </w:rPr>
        <w:t xml:space="preserve"> A accuracy no treino completo é de 100% para os modelos finais, como é habitual em conjuntos de árvores profundas, e por isso não é indicativa; o que mede a generalização é a CV e a validação, nas quais a diferença entre CV e validação é pequena (≤ 1,8 pontos nos cinco melhores modelos, com a validação geralmente acima da CV).</w:t>
      </w:r>
    </w:p>
    <w:p>
      <w:pPr>
        <w:jc w:val="both"/>
      </w:pPr>
      <w:r>
        <w:rPr>
          <w:b w:val="0"/>
          <w:i w:val="0"/>
        </w:rPr>
      </w:r>
      <w:r>
        <w:rPr>
          <w:b/>
          <w:i w:val="0"/>
        </w:rPr>
        <w:t>Ruído nas estimativas.</w:t>
      </w:r>
      <w:r>
        <w:rPr>
          <w:b w:val="0"/>
          <w:i w:val="0"/>
        </w:rPr>
        <w:t xml:space="preserve"> O desvio-padrão da accuracy entre folds (0,5 a 2,7 pontos) e o tamanho do conjunto de validação (736 registos) limitam a resolução da comparação. Para distinguir modelos a menos de um ponto percentual seriam necessárias validações cruzadas repetidas com testes de significância (por exemplo, o teste de McNemar ou o teste t corrigido de Nadeau–Bengio), o que não se fez.</w:t>
      </w:r>
    </w:p>
    <w:p>
      <w:pPr>
        <w:pStyle w:val="Heading2"/>
      </w:pPr>
      <w:r>
        <w:t>3.5 Modelo final e submissão</w:t>
      </w:r>
    </w:p>
    <w:p>
      <w:pPr>
        <w:jc w:val="both"/>
      </w:pPr>
      <w:r>
        <w:rPr>
          <w:b w:val="0"/>
          <w:i w:val="0"/>
        </w:rPr>
        <w:t xml:space="preserve">Aplicando o critério definido antes de observar a validação – maior accuracy média em validação cruzada no treino interno – o modelo selecionado foi o </w:t>
      </w:r>
      <w:r>
        <w:rPr>
          <w:b/>
          <w:i w:val="0"/>
        </w:rPr>
        <w:t>AdaBoost</w:t>
      </w:r>
      <w:r>
        <w:rPr>
          <w:b w:val="0"/>
          <w:i w:val="0"/>
        </w:rPr>
        <w:t xml:space="preserve"> (accuracy em CV = 0,9510; validação: accuracy 0,9457, precision 0,9051, recall 0,8212, F-measure 0,8611).</w:t>
      </w:r>
    </w:p>
    <w:p>
      <w:pPr>
        <w:jc w:val="both"/>
      </w:pPr>
      <w:r>
        <w:rPr>
          <w:b w:val="0"/>
          <w:i w:val="0"/>
        </w:rPr>
        <w:t xml:space="preserve">Este modelo foi reajustado com os 3 676 registos de training.csv e aplicado a task.csv, originando o ficheiro </w:t>
      </w:r>
      <w:r>
        <w:rPr>
          <w:b/>
          <w:i w:val="0"/>
        </w:rPr>
        <w:t>submission.csv</w:t>
      </w:r>
      <w:r>
        <w:rPr>
          <w:b w:val="0"/>
          <w:i w:val="0"/>
        </w:rPr>
        <w:t xml:space="preserve"> (colunas i e y, 3 676 linhas e cabeçalho). Foram previstos 20,2% de produtos com desconto, valor coerente com os 20,6% observados no treino. Nenhum dos 30 registos de task.csv com x9 em falta foi classificado como «com desconto», em linha com a regra observada no treino.</w:t>
      </w:r>
    </w:p>
    <w:p>
      <w:pPr>
        <w:jc w:val="both"/>
      </w:pPr>
      <w:r>
        <w:rPr>
          <w:b w:val="0"/>
          <w:i w:val="0"/>
        </w:rPr>
        <w:t>À semelhança do passo «Predict New Example» dos notebooks das aulas, a Tabela 16 mostra as previsões do modelo final para os primeiros produtos de task.csv.</w:t>
      </w:r>
    </w:p>
    <w:p>
      <w:pPr>
        <w:keepNext/>
        <w:spacing w:after="60"/>
        <w:jc w:val="center"/>
      </w:pPr>
      <w:r>
        <w:rPr>
          <w:i/>
          <w:sz w:val="19"/>
        </w:rPr>
        <w:t>Tabela 16 – Previsões do modelo final para os cinco primeiros registos de task.csv (1 = com desconto).</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9B1C2E"/>
          </w:tcPr>
          <w:p>
            <w:pPr>
              <w:spacing w:after="20" w:line="240" w:lineRule="auto"/>
              <w:jc w:val="center"/>
            </w:pPr>
            <w:r/>
            <w:r>
              <w:rPr>
                <w:b/>
                <w:color w:val="FFFFFF"/>
                <w:sz w:val="18"/>
              </w:rPr>
              <w:t>i</w:t>
            </w:r>
          </w:p>
        </w:tc>
        <w:tc>
          <w:tcPr>
            <w:tcW w:type="dxa" w:w="3024"/>
            <w:shd w:val="clear" w:color="auto" w:fill="9B1C2E"/>
          </w:tcPr>
          <w:p>
            <w:pPr>
              <w:spacing w:after="20" w:line="240" w:lineRule="auto"/>
              <w:jc w:val="center"/>
            </w:pPr>
            <w:r/>
            <w:r>
              <w:rPr>
                <w:b/>
                <w:color w:val="FFFFFF"/>
                <w:sz w:val="18"/>
              </w:rPr>
              <w:t>previsão (y)</w:t>
            </w:r>
          </w:p>
        </w:tc>
        <w:tc>
          <w:tcPr>
            <w:tcW w:type="dxa" w:w="3024"/>
            <w:shd w:val="clear" w:color="auto" w:fill="9B1C2E"/>
          </w:tcPr>
          <w:p>
            <w:pPr>
              <w:spacing w:after="20" w:line="240" w:lineRule="auto"/>
              <w:jc w:val="center"/>
            </w:pPr>
            <w:r/>
            <w:r>
              <w:rPr>
                <w:b/>
                <w:color w:val="FFFFFF"/>
                <w:sz w:val="18"/>
              </w:rPr>
              <w:t>P(y=1)</w:t>
            </w:r>
          </w:p>
        </w:tc>
      </w:tr>
      <w:tr>
        <w:tc>
          <w:tcPr>
            <w:tcW w:type="dxa" w:w="3024"/>
          </w:tcPr>
          <w:p>
            <w:pPr>
              <w:spacing w:after="20" w:line="240" w:lineRule="auto"/>
              <w:jc w:val="left"/>
            </w:pPr>
            <w:r/>
            <w:r>
              <w:rPr>
                <w:sz w:val="18"/>
              </w:rPr>
              <w:t>1</w:t>
            </w:r>
          </w:p>
        </w:tc>
        <w:tc>
          <w:tcPr>
            <w:tcW w:type="dxa" w:w="3024"/>
          </w:tcPr>
          <w:p>
            <w:pPr>
              <w:spacing w:after="20" w:line="240" w:lineRule="auto"/>
              <w:jc w:val="center"/>
            </w:pPr>
            <w:r/>
            <w:r>
              <w:rPr>
                <w:sz w:val="18"/>
              </w:rPr>
              <w:t>0</w:t>
            </w:r>
          </w:p>
        </w:tc>
        <w:tc>
          <w:tcPr>
            <w:tcW w:type="dxa" w:w="3024"/>
          </w:tcPr>
          <w:p>
            <w:pPr>
              <w:spacing w:after="20" w:line="240" w:lineRule="auto"/>
              <w:jc w:val="center"/>
            </w:pPr>
            <w:r/>
            <w:r>
              <w:rPr>
                <w:sz w:val="18"/>
              </w:rPr>
              <w:t>0.434</w:t>
            </w:r>
          </w:p>
        </w:tc>
      </w:tr>
      <w:tr>
        <w:tc>
          <w:tcPr>
            <w:tcW w:type="dxa" w:w="3024"/>
            <w:shd w:val="clear" w:color="auto" w:fill="F2F2F2"/>
          </w:tcPr>
          <w:p>
            <w:pPr>
              <w:spacing w:after="20" w:line="240" w:lineRule="auto"/>
              <w:jc w:val="left"/>
            </w:pPr>
            <w:r/>
            <w:r>
              <w:rPr>
                <w:sz w:val="18"/>
              </w:rPr>
              <w:t>6</w:t>
            </w:r>
          </w:p>
        </w:tc>
        <w:tc>
          <w:tcPr>
            <w:tcW w:type="dxa" w:w="3024"/>
            <w:shd w:val="clear" w:color="auto" w:fill="F2F2F2"/>
          </w:tcPr>
          <w:p>
            <w:pPr>
              <w:spacing w:after="20" w:line="240" w:lineRule="auto"/>
              <w:jc w:val="center"/>
            </w:pPr>
            <w:r/>
            <w:r>
              <w:rPr>
                <w:sz w:val="18"/>
              </w:rPr>
              <w:t>1</w:t>
            </w:r>
          </w:p>
        </w:tc>
        <w:tc>
          <w:tcPr>
            <w:tcW w:type="dxa" w:w="3024"/>
            <w:shd w:val="clear" w:color="auto" w:fill="F2F2F2"/>
          </w:tcPr>
          <w:p>
            <w:pPr>
              <w:spacing w:after="20" w:line="240" w:lineRule="auto"/>
              <w:jc w:val="center"/>
            </w:pPr>
            <w:r/>
            <w:r>
              <w:rPr>
                <w:sz w:val="18"/>
              </w:rPr>
              <w:t>0.554</w:t>
            </w:r>
          </w:p>
        </w:tc>
      </w:tr>
      <w:tr>
        <w:tc>
          <w:tcPr>
            <w:tcW w:type="dxa" w:w="3024"/>
          </w:tcPr>
          <w:p>
            <w:pPr>
              <w:spacing w:after="20" w:line="240" w:lineRule="auto"/>
              <w:jc w:val="left"/>
            </w:pPr>
            <w:r/>
            <w:r>
              <w:rPr>
                <w:sz w:val="18"/>
              </w:rPr>
              <w:t>9</w:t>
            </w:r>
          </w:p>
        </w:tc>
        <w:tc>
          <w:tcPr>
            <w:tcW w:type="dxa" w:w="3024"/>
          </w:tcPr>
          <w:p>
            <w:pPr>
              <w:spacing w:after="20" w:line="240" w:lineRule="auto"/>
              <w:jc w:val="center"/>
            </w:pPr>
            <w:r/>
            <w:r>
              <w:rPr>
                <w:sz w:val="18"/>
              </w:rPr>
              <w:t>0</w:t>
            </w:r>
          </w:p>
        </w:tc>
        <w:tc>
          <w:tcPr>
            <w:tcW w:type="dxa" w:w="3024"/>
          </w:tcPr>
          <w:p>
            <w:pPr>
              <w:spacing w:after="20" w:line="240" w:lineRule="auto"/>
              <w:jc w:val="center"/>
            </w:pPr>
            <w:r/>
            <w:r>
              <w:rPr>
                <w:sz w:val="18"/>
              </w:rPr>
              <w:t>0.381</w:t>
            </w:r>
          </w:p>
        </w:tc>
      </w:tr>
      <w:tr>
        <w:tc>
          <w:tcPr>
            <w:tcW w:type="dxa" w:w="3024"/>
            <w:shd w:val="clear" w:color="auto" w:fill="F2F2F2"/>
          </w:tcPr>
          <w:p>
            <w:pPr>
              <w:spacing w:after="20" w:line="240" w:lineRule="auto"/>
              <w:jc w:val="left"/>
            </w:pPr>
            <w:r/>
            <w:r>
              <w:rPr>
                <w:sz w:val="18"/>
              </w:rPr>
              <w:t>10</w:t>
            </w:r>
          </w:p>
        </w:tc>
        <w:tc>
          <w:tcPr>
            <w:tcW w:type="dxa" w:w="3024"/>
            <w:shd w:val="clear" w:color="auto" w:fill="F2F2F2"/>
          </w:tcPr>
          <w:p>
            <w:pPr>
              <w:spacing w:after="20" w:line="240" w:lineRule="auto"/>
              <w:jc w:val="center"/>
            </w:pPr>
            <w:r/>
            <w:r>
              <w:rPr>
                <w:sz w:val="18"/>
              </w:rPr>
              <w:t>0</w:t>
            </w:r>
          </w:p>
        </w:tc>
        <w:tc>
          <w:tcPr>
            <w:tcW w:type="dxa" w:w="3024"/>
            <w:shd w:val="clear" w:color="auto" w:fill="F2F2F2"/>
          </w:tcPr>
          <w:p>
            <w:pPr>
              <w:spacing w:after="20" w:line="240" w:lineRule="auto"/>
              <w:jc w:val="center"/>
            </w:pPr>
            <w:r/>
            <w:r>
              <w:rPr>
                <w:sz w:val="18"/>
              </w:rPr>
              <w:t>0.304</w:t>
            </w:r>
          </w:p>
        </w:tc>
      </w:tr>
      <w:tr>
        <w:tc>
          <w:tcPr>
            <w:tcW w:type="dxa" w:w="3024"/>
          </w:tcPr>
          <w:p>
            <w:pPr>
              <w:spacing w:after="20" w:line="240" w:lineRule="auto"/>
              <w:jc w:val="left"/>
            </w:pPr>
            <w:r/>
            <w:r>
              <w:rPr>
                <w:sz w:val="18"/>
              </w:rPr>
              <w:t>11</w:t>
            </w:r>
          </w:p>
        </w:tc>
        <w:tc>
          <w:tcPr>
            <w:tcW w:type="dxa" w:w="3024"/>
          </w:tcPr>
          <w:p>
            <w:pPr>
              <w:spacing w:after="20" w:line="240" w:lineRule="auto"/>
              <w:jc w:val="center"/>
            </w:pPr>
            <w:r/>
            <w:r>
              <w:rPr>
                <w:sz w:val="18"/>
              </w:rPr>
              <w:t>0</w:t>
            </w:r>
          </w:p>
        </w:tc>
        <w:tc>
          <w:tcPr>
            <w:tcW w:type="dxa" w:w="3024"/>
          </w:tcPr>
          <w:p>
            <w:pPr>
              <w:spacing w:after="20" w:line="240" w:lineRule="auto"/>
              <w:jc w:val="center"/>
            </w:pPr>
            <w:r/>
            <w:r>
              <w:rPr>
                <w:sz w:val="18"/>
              </w:rPr>
              <w:t>0.474</w:t>
            </w:r>
          </w:p>
        </w:tc>
      </w:tr>
    </w:tbl>
    <w:p>
      <w:pPr>
        <w:spacing w:after="80"/>
      </w:pPr>
    </w:p>
    <w:p>
      <w:pPr>
        <w:jc w:val="both"/>
      </w:pPr>
      <w:r>
        <w:rPr>
          <w:b w:val="0"/>
          <w:i w:val="0"/>
        </w:rPr>
        <w:t>Como task.csv não contém o alvo, a accuracy real da submissão é desconhecida; a melhor estimativa é a obtida em validação cruzada e na validação hold-out, isto é, cerca de 0,95 (intervalo plausível de ±0,01–0,02). Dado que os cinco melhores modelos são estatisticamente indistinguíveis, o resultado final na competição poderia ter sido ligeiramente diferente com qualquer um deles.</w:t>
      </w:r>
    </w:p>
    <w:p>
      <w:r>
        <w:br w:type="page"/>
      </w:r>
    </w:p>
    <w:p>
      <w:pPr>
        <w:pStyle w:val="Heading1"/>
      </w:pPr>
      <w:r>
        <w:t>4. Conclusão</w:t>
      </w:r>
    </w:p>
    <w:p>
      <w:pPr>
        <w:jc w:val="both"/>
      </w:pPr>
      <w:r>
        <w:rPr>
          <w:b w:val="0"/>
          <w:i w:val="0"/>
        </w:rPr>
        <w:t>Neste trabalho construiu-se, seguindo o CRISP-DM, um classificador para identificar produtos com desconto. A análise exploratória mostrou que o problema é moderadamente desequilibrado (20,6% de positivos), que as variáveis contínuas são assimétricas e que as correlações lineares com o alvo são fracas, embora 18 das 26 variáveis apresentem associação significativa. Identificou-se que a ausência de x9 é informativa (todos os 49 casos têm y = 0). A preparação dos dados incluiu a divisão em treino interno e validação, imputação com indicador de ausência, estudo de outliers (não removidos), de estratégias de reamostragem (tratadas como hiperparâmetro) e da redundância de variáveis (todas mantidas).</w:t>
      </w:r>
    </w:p>
    <w:p>
      <w:pPr>
        <w:jc w:val="both"/>
      </w:pPr>
      <w:r>
        <w:rPr>
          <w:b w:val="0"/>
          <w:i w:val="0"/>
        </w:rPr>
        <w:t>Dos doze algoritmos comparados, os conjuntos de árvores (Bagging, Extra Trees, Gradient Boosting, Random Forest e AdaBoost) alcançaram accuracy entre 94,6% e 95,9% na validação, F-measure entre 0,86 e 0,90 e AUC entre 0,96 e 0,98, bastante acima da baseline de 79,4%, do SVM (87,9%), do KNN (88,7%), da regressão logística (80,6%), do K-Means (79,9%), do MLP (78,9%) e do Naive Bayes (53,3%). A superioridade das árvores é coerente com a natureza dos dados: muitas variáveis binárias, variáveis de baixa cardinalidade, assimetrias e interações. Os cinco melhores modelos são, no entanto, estatisticamente indistinguíveis; o AdaBoost foi escolhido por apresentar a maior accuracy em validação cruzada.</w:t>
      </w:r>
    </w:p>
    <w:p>
      <w:pPr>
        <w:pStyle w:val="Heading3"/>
      </w:pPr>
      <w:r>
        <w:t>Limitações</w:t>
      </w:r>
    </w:p>
    <w:p>
      <w:pPr>
        <w:pStyle w:val="ListBullet"/>
        <w:spacing w:after="40"/>
        <w:jc w:val="both"/>
      </w:pPr>
      <w:r>
        <w:rPr>
          <w:b w:val="0"/>
        </w:rPr>
        <w:t>O significado das variáveis é desconhecido, pelo que as interpretações (por exemplo, x5 como preço ou as variáveis d como codificação de categorias) são hipóteses.</w:t>
      </w:r>
    </w:p>
    <w:p>
      <w:pPr>
        <w:pStyle w:val="ListBullet"/>
        <w:spacing w:after="40"/>
        <w:jc w:val="both"/>
      </w:pPr>
      <w:r>
        <w:rPr>
          <w:b w:val="0"/>
        </w:rPr>
        <w:t>A métrica da competição é a accuracy, que dá o mesmo peso aos dois tipos de erro; num contexto de negócio, os custos de falsos positivos e falsos negativos podem diferir e justificar a otimização do recall ou da F-measure (ou a escolha de um limiar de decisão diferente de 0,5).</w:t>
      </w:r>
    </w:p>
    <w:p>
      <w:pPr>
        <w:pStyle w:val="ListBullet"/>
        <w:spacing w:after="40"/>
        <w:jc w:val="both"/>
      </w:pPr>
      <w:r>
        <w:rPr>
          <w:b w:val="0"/>
        </w:rPr>
        <w:t>As grelhas de hiperparâmetros são limitadas (sobretudo para o MLP) e não se aplicaram testes de significância entre modelos.</w:t>
      </w:r>
    </w:p>
    <w:p>
      <w:pPr>
        <w:pStyle w:val="ListBullet"/>
        <w:spacing w:after="40"/>
        <w:jc w:val="both"/>
      </w:pPr>
      <w:r>
        <w:rPr>
          <w:b w:val="0"/>
        </w:rPr>
        <w:t>Os registos duplicados e a sobreposição entre treino e teste (10,4% de task.csv com gémeo no treino) beneficiam modelos que memorizam; o desempenho em produtos novos poderá ser inferior ao estimado.</w:t>
      </w:r>
    </w:p>
    <w:p>
      <w:pPr>
        <w:pStyle w:val="Heading3"/>
      </w:pPr>
      <w:r>
        <w:t>Trabalho futuro</w:t>
      </w:r>
    </w:p>
    <w:p>
      <w:pPr>
        <w:pStyle w:val="ListBullet"/>
        <w:spacing w:after="40"/>
        <w:jc w:val="both"/>
      </w:pPr>
      <w:r>
        <w:rPr>
          <w:b w:val="0"/>
        </w:rPr>
        <w:t>Validação cruzada repetida e testes estatísticos (McNemar, Nadeau–Bengio) para comparar os melhores modelos.</w:t>
      </w:r>
    </w:p>
    <w:p>
      <w:pPr>
        <w:pStyle w:val="ListBullet"/>
        <w:spacing w:after="40"/>
        <w:jc w:val="both"/>
      </w:pPr>
      <w:r>
        <w:rPr>
          <w:b w:val="0"/>
        </w:rPr>
        <w:t>Ajuste do limiar de decisão e calibração das probabilidades, para otimizar a métrica pretendida.</w:t>
      </w:r>
    </w:p>
    <w:p>
      <w:pPr>
        <w:pStyle w:val="ListBullet"/>
        <w:spacing w:after="40"/>
        <w:jc w:val="both"/>
      </w:pPr>
      <w:r>
        <w:rPr>
          <w:b w:val="0"/>
        </w:rPr>
        <w:t>Modelos adicionais (XGBoost, LightGBM, empilhamento/stacking e votação) e uma afinação mais extensa do MLP.</w:t>
      </w:r>
    </w:p>
    <w:p>
      <w:pPr>
        <w:pStyle w:val="ListBullet"/>
        <w:spacing w:after="40"/>
        <w:jc w:val="both"/>
      </w:pPr>
      <w:r>
        <w:rPr>
          <w:b w:val="0"/>
        </w:rPr>
        <w:t>Implementação (fase final do CRISP-DM): disponibilizar o modelo, monitorizar a accuracy em novos dados e reavaliar periodicamente, dado que as políticas de desconto mudam ao longo do tempo (deriva de conceito).</w:t>
      </w:r>
    </w:p>
    <w:p>
      <w:pPr>
        <w:pStyle w:val="Heading1"/>
      </w:pPr>
      <w:r>
        <w:t>Referências</w:t>
      </w:r>
    </w:p>
    <w:p>
      <w:pPr>
        <w:spacing w:after="60"/>
        <w:ind w:left="454" w:hanging="454"/>
      </w:pPr>
      <w:r>
        <w:t>Breiman, L. (1996). Bagging predictors. Machine Learning, 24(2), 123–140.</w:t>
      </w:r>
    </w:p>
    <w:p>
      <w:pPr>
        <w:spacing w:after="60"/>
        <w:ind w:left="454" w:hanging="454"/>
      </w:pPr>
      <w:r>
        <w:t>Breiman, L. (2001). Random forests. Machine Learning, 45(1), 5–32.</w:t>
      </w:r>
    </w:p>
    <w:p>
      <w:pPr>
        <w:spacing w:after="60"/>
        <w:ind w:left="454" w:hanging="454"/>
      </w:pPr>
      <w:r>
        <w:t>Breiman, L., Friedman, J., Olshen, R., &amp; Stone, C. (1984). Classification and Regression Trees. Wadsworth.</w:t>
      </w:r>
    </w:p>
    <w:p>
      <w:pPr>
        <w:spacing w:after="60"/>
        <w:ind w:left="454" w:hanging="454"/>
      </w:pPr>
      <w:r>
        <w:t>Chapman, P., Clinton, J., Kerber, R., Khabaza, T., Reinartz, T., Shearer, C., &amp; Wirth, R. (2000). CRISP-DM 1.0: Step-by-step data mining guide. SPSS Inc.</w:t>
      </w:r>
    </w:p>
    <w:p>
      <w:pPr>
        <w:spacing w:after="60"/>
        <w:ind w:left="454" w:hanging="454"/>
      </w:pPr>
      <w:r>
        <w:t>Chawla, N. V., Bowyer, K. W., Hall, L. O., &amp; Kegelmeyer, W. P. (2002). SMOTE: Synthetic minority over-sampling technique. Journal of Artificial Intelligence Research, 16, 321–357.</w:t>
      </w:r>
    </w:p>
    <w:p>
      <w:pPr>
        <w:spacing w:after="60"/>
        <w:ind w:left="454" w:hanging="454"/>
      </w:pPr>
      <w:r>
        <w:t>Cortes, C., &amp; Vapnik, V. (1995). Support-vector networks. Machine Learning, 20(3), 273–297.</w:t>
      </w:r>
    </w:p>
    <w:p>
      <w:pPr>
        <w:spacing w:after="60"/>
        <w:ind w:left="454" w:hanging="454"/>
      </w:pPr>
      <w:r>
        <w:t>Cover, T., &amp; Hart, P. (1967). Nearest neighbor pattern classification. IEEE Transactions on Information Theory, 13(1), 21–27.</w:t>
      </w:r>
    </w:p>
    <w:p>
      <w:pPr>
        <w:spacing w:after="60"/>
        <w:ind w:left="454" w:hanging="454"/>
      </w:pPr>
      <w:r>
        <w:t>Cox, D. R. (1958). The regression analysis of binary sequences. Journal of the Royal Statistical Society: Series B, 20(2), 215–242.</w:t>
      </w:r>
    </w:p>
    <w:p>
      <w:pPr>
        <w:spacing w:after="60"/>
        <w:ind w:left="454" w:hanging="454"/>
      </w:pPr>
      <w:r>
        <w:t>Freund, Y., &amp; Schapire, R. E. (1997). A decision-theoretic generalization of on-line learning and an application to boosting. Journal of Computer and System Sciences, 55(1), 119–139.</w:t>
      </w:r>
    </w:p>
    <w:p>
      <w:pPr>
        <w:spacing w:after="60"/>
        <w:ind w:left="454" w:hanging="454"/>
      </w:pPr>
      <w:r>
        <w:t>Friedman, J. H. (2001). Greedy function approximation: A gradient boosting machine. Annals of Statistics, 29(5), 1189–1232.</w:t>
      </w:r>
    </w:p>
    <w:p>
      <w:pPr>
        <w:spacing w:after="60"/>
        <w:ind w:left="454" w:hanging="454"/>
      </w:pPr>
      <w:r>
        <w:t>Geurts, P., Ernst, D., &amp; Wehenkel, L. (2006). Extremely randomized trees. Machine Learning, 63(1), 3–42.</w:t>
      </w:r>
    </w:p>
    <w:p>
      <w:pPr>
        <w:spacing w:after="60"/>
        <w:ind w:left="454" w:hanging="454"/>
      </w:pPr>
      <w:r>
        <w:t>Lemaître, G., Nogueira, F., &amp; Aridas, C. K. (2017). Imbalanced-learn: A Python toolbox to tackle the curse of imbalanced datasets in machine learning. Journal of Machine Learning Research, 18(17), 1–5.</w:t>
      </w:r>
    </w:p>
    <w:p>
      <w:pPr>
        <w:spacing w:after="60"/>
        <w:ind w:left="454" w:hanging="454"/>
      </w:pPr>
      <w:r>
        <w:t>MacQueen, J. (1967). Some methods for classification and analysis of multivariate observations. Proceedings of the 5th Berkeley Symposium on Mathematical Statistics and Probability, 1, 281–297.</w:t>
      </w:r>
    </w:p>
    <w:p>
      <w:pPr>
        <w:spacing w:after="60"/>
        <w:ind w:left="454" w:hanging="454"/>
      </w:pPr>
      <w:r>
        <w:t>Pedregosa, F., et al. (2011). Scikit-learn: Machine learning in Python. Journal of Machine Learning Research, 12, 2825–2830.</w:t>
      </w:r>
    </w:p>
    <w:p>
      <w:pPr>
        <w:spacing w:after="60"/>
        <w:ind w:left="454" w:hanging="454"/>
      </w:pPr>
      <w:r>
        <w:t>Rumelhart, D. E., Hinton, G. E., &amp; Williams, R. J. (1986). Learning representations by back-propagating errors. Nature, 323, 533–536.</w:t>
      </w:r>
    </w:p>
    <w:p>
      <w:r>
        <w:br w:type="page"/>
      </w:r>
    </w:p>
    <w:p>
      <w:pPr>
        <w:pStyle w:val="Heading1"/>
      </w:pPr>
      <w:r>
        <w:t>Anexo A – Hiperparâmetros e grelhas de pesquisa</w:t>
      </w:r>
    </w:p>
    <w:p>
      <w:pPr>
        <w:keepNext/>
        <w:spacing w:after="60"/>
        <w:jc w:val="center"/>
      </w:pPr>
      <w:r>
        <w:rPr>
          <w:i/>
          <w:sz w:val="19"/>
        </w:rPr>
        <w:t>Tabela 17 – Grelhas de pesquisa (5 folds por combinação; critério: accuracy).</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9B1C2E"/>
          </w:tcPr>
          <w:p>
            <w:pPr>
              <w:spacing w:after="20" w:line="240" w:lineRule="auto"/>
              <w:jc w:val="center"/>
            </w:pPr>
            <w:r/>
            <w:r>
              <w:rPr>
                <w:b/>
                <w:color w:val="FFFFFF"/>
                <w:sz w:val="16"/>
              </w:rPr>
              <w:t>algoritmo</w:t>
            </w:r>
          </w:p>
        </w:tc>
        <w:tc>
          <w:tcPr>
            <w:tcW w:type="dxa" w:w="6236"/>
            <w:shd w:val="clear" w:color="auto" w:fill="9B1C2E"/>
          </w:tcPr>
          <w:p>
            <w:pPr>
              <w:spacing w:after="20" w:line="240" w:lineRule="auto"/>
              <w:jc w:val="center"/>
            </w:pPr>
            <w:r/>
            <w:r>
              <w:rPr>
                <w:b/>
                <w:color w:val="FFFFFF"/>
                <w:sz w:val="16"/>
              </w:rPr>
              <w:t>grelha</w:t>
            </w:r>
          </w:p>
        </w:tc>
        <w:tc>
          <w:tcPr>
            <w:tcW w:type="dxa" w:w="1134"/>
            <w:shd w:val="clear" w:color="auto" w:fill="9B1C2E"/>
          </w:tcPr>
          <w:p>
            <w:pPr>
              <w:spacing w:after="20" w:line="240" w:lineRule="auto"/>
              <w:jc w:val="center"/>
            </w:pPr>
            <w:r/>
            <w:r>
              <w:rPr>
                <w:b/>
                <w:color w:val="FFFFFF"/>
                <w:sz w:val="16"/>
              </w:rPr>
              <w:t>combinações</w:t>
            </w:r>
          </w:p>
        </w:tc>
      </w:tr>
      <w:tr>
        <w:tc>
          <w:tcPr>
            <w:tcW w:type="dxa" w:w="1701"/>
          </w:tcPr>
          <w:p>
            <w:pPr>
              <w:spacing w:after="20" w:line="240" w:lineRule="auto"/>
              <w:jc w:val="left"/>
            </w:pPr>
            <w:r/>
            <w:r>
              <w:rPr>
                <w:sz w:val="16"/>
              </w:rPr>
              <w:t>KNN</w:t>
            </w:r>
          </w:p>
        </w:tc>
        <w:tc>
          <w:tcPr>
            <w:tcW w:type="dxa" w:w="6236"/>
          </w:tcPr>
          <w:p>
            <w:pPr>
              <w:spacing w:after="20" w:line="240" w:lineRule="auto"/>
              <w:jc w:val="center"/>
            </w:pPr>
            <w:r/>
            <w:r>
              <w:rPr>
                <w:sz w:val="16"/>
              </w:rPr>
              <w:t>n_neighbors ∈ {3,5,7,11,15,25}; weights ∈ {uniform, distance}; p ∈ {1,2}; reamostragem ∈ {nenhuma, SMOTE}</w:t>
            </w:r>
          </w:p>
        </w:tc>
        <w:tc>
          <w:tcPr>
            <w:tcW w:type="dxa" w:w="1134"/>
          </w:tcPr>
          <w:p>
            <w:pPr>
              <w:spacing w:after="20" w:line="240" w:lineRule="auto"/>
              <w:jc w:val="center"/>
            </w:pPr>
            <w:r/>
            <w:r>
              <w:rPr>
                <w:sz w:val="16"/>
              </w:rPr>
              <w:t>48</w:t>
            </w:r>
          </w:p>
        </w:tc>
      </w:tr>
      <w:tr>
        <w:tc>
          <w:tcPr>
            <w:tcW w:type="dxa" w:w="1701"/>
            <w:shd w:val="clear" w:color="auto" w:fill="F2F2F2"/>
          </w:tcPr>
          <w:p>
            <w:pPr>
              <w:spacing w:after="20" w:line="240" w:lineRule="auto"/>
              <w:jc w:val="left"/>
            </w:pPr>
            <w:r/>
            <w:r>
              <w:rPr>
                <w:sz w:val="16"/>
              </w:rPr>
              <w:t>Árvore de Decisão</w:t>
            </w:r>
          </w:p>
        </w:tc>
        <w:tc>
          <w:tcPr>
            <w:tcW w:type="dxa" w:w="6236"/>
            <w:shd w:val="clear" w:color="auto" w:fill="F2F2F2"/>
          </w:tcPr>
          <w:p>
            <w:pPr>
              <w:spacing w:after="20" w:line="240" w:lineRule="auto"/>
              <w:jc w:val="center"/>
            </w:pPr>
            <w:r/>
            <w:r>
              <w:rPr>
                <w:sz w:val="16"/>
              </w:rPr>
              <w:t>max_depth ∈ {4,6,8,12,None}; min_samples_leaf ∈ {1,5,10}; criterion ∈ {gini, entropy}; reamostragem</w:t>
            </w:r>
          </w:p>
        </w:tc>
        <w:tc>
          <w:tcPr>
            <w:tcW w:type="dxa" w:w="1134"/>
            <w:shd w:val="clear" w:color="auto" w:fill="F2F2F2"/>
          </w:tcPr>
          <w:p>
            <w:pPr>
              <w:spacing w:after="20" w:line="240" w:lineRule="auto"/>
              <w:jc w:val="center"/>
            </w:pPr>
            <w:r/>
            <w:r>
              <w:rPr>
                <w:sz w:val="16"/>
              </w:rPr>
              <w:t>60</w:t>
            </w:r>
          </w:p>
        </w:tc>
      </w:tr>
      <w:tr>
        <w:tc>
          <w:tcPr>
            <w:tcW w:type="dxa" w:w="1701"/>
          </w:tcPr>
          <w:p>
            <w:pPr>
              <w:spacing w:after="20" w:line="240" w:lineRule="auto"/>
              <w:jc w:val="left"/>
            </w:pPr>
            <w:r/>
            <w:r>
              <w:rPr>
                <w:sz w:val="16"/>
              </w:rPr>
              <w:t>Regressão Logística</w:t>
            </w:r>
          </w:p>
        </w:tc>
        <w:tc>
          <w:tcPr>
            <w:tcW w:type="dxa" w:w="6236"/>
          </w:tcPr>
          <w:p>
            <w:pPr>
              <w:spacing w:after="20" w:line="240" w:lineRule="auto"/>
              <w:jc w:val="center"/>
            </w:pPr>
            <w:r/>
            <w:r>
              <w:rPr>
                <w:sz w:val="16"/>
              </w:rPr>
              <w:t>C ∈ {0,01; 0,1; 1; 10; 100}; penalização L2; reamostragem; máx. 3000 iterações</w:t>
            </w:r>
          </w:p>
        </w:tc>
        <w:tc>
          <w:tcPr>
            <w:tcW w:type="dxa" w:w="1134"/>
          </w:tcPr>
          <w:p>
            <w:pPr>
              <w:spacing w:after="20" w:line="240" w:lineRule="auto"/>
              <w:jc w:val="center"/>
            </w:pPr>
            <w:r/>
            <w:r>
              <w:rPr>
                <w:sz w:val="16"/>
              </w:rPr>
              <w:t>10</w:t>
            </w:r>
          </w:p>
        </w:tc>
      </w:tr>
      <w:tr>
        <w:tc>
          <w:tcPr>
            <w:tcW w:type="dxa" w:w="1701"/>
            <w:shd w:val="clear" w:color="auto" w:fill="F2F2F2"/>
          </w:tcPr>
          <w:p>
            <w:pPr>
              <w:spacing w:after="20" w:line="240" w:lineRule="auto"/>
              <w:jc w:val="left"/>
            </w:pPr>
            <w:r/>
            <w:r>
              <w:rPr>
                <w:sz w:val="16"/>
              </w:rPr>
              <w:t>K-Means (classificador)</w:t>
            </w:r>
          </w:p>
        </w:tc>
        <w:tc>
          <w:tcPr>
            <w:tcW w:type="dxa" w:w="6236"/>
            <w:shd w:val="clear" w:color="auto" w:fill="F2F2F2"/>
          </w:tcPr>
          <w:p>
            <w:pPr>
              <w:spacing w:after="20" w:line="240" w:lineRule="auto"/>
              <w:jc w:val="center"/>
            </w:pPr>
            <w:r/>
            <w:r>
              <w:rPr>
                <w:sz w:val="16"/>
              </w:rPr>
              <w:t>n_clusters ∈ {2,3,4,8,16,32,64}; reamostragem</w:t>
            </w:r>
          </w:p>
        </w:tc>
        <w:tc>
          <w:tcPr>
            <w:tcW w:type="dxa" w:w="1134"/>
            <w:shd w:val="clear" w:color="auto" w:fill="F2F2F2"/>
          </w:tcPr>
          <w:p>
            <w:pPr>
              <w:spacing w:after="20" w:line="240" w:lineRule="auto"/>
              <w:jc w:val="center"/>
            </w:pPr>
            <w:r/>
            <w:r>
              <w:rPr>
                <w:sz w:val="16"/>
              </w:rPr>
              <w:t>14</w:t>
            </w:r>
          </w:p>
        </w:tc>
      </w:tr>
      <w:tr>
        <w:tc>
          <w:tcPr>
            <w:tcW w:type="dxa" w:w="1701"/>
          </w:tcPr>
          <w:p>
            <w:pPr>
              <w:spacing w:after="20" w:line="240" w:lineRule="auto"/>
              <w:jc w:val="left"/>
            </w:pPr>
            <w:r/>
            <w:r>
              <w:rPr>
                <w:sz w:val="16"/>
              </w:rPr>
              <w:t>SVM</w:t>
            </w:r>
          </w:p>
        </w:tc>
        <w:tc>
          <w:tcPr>
            <w:tcW w:type="dxa" w:w="6236"/>
          </w:tcPr>
          <w:p>
            <w:pPr>
              <w:spacing w:after="20" w:line="240" w:lineRule="auto"/>
              <w:jc w:val="center"/>
            </w:pPr>
            <w:r/>
            <w:r>
              <w:rPr>
                <w:sz w:val="16"/>
              </w:rPr>
              <w:t>C ∈ {0,1; 1; 10; 100}; kernel = rbf; gamma ∈ {scale, 0,01, 0,1}; reamostragem</w:t>
            </w:r>
          </w:p>
        </w:tc>
        <w:tc>
          <w:tcPr>
            <w:tcW w:type="dxa" w:w="1134"/>
          </w:tcPr>
          <w:p>
            <w:pPr>
              <w:spacing w:after="20" w:line="240" w:lineRule="auto"/>
              <w:jc w:val="center"/>
            </w:pPr>
            <w:r/>
            <w:r>
              <w:rPr>
                <w:sz w:val="16"/>
              </w:rPr>
              <w:t>24</w:t>
            </w:r>
          </w:p>
        </w:tc>
      </w:tr>
      <w:tr>
        <w:tc>
          <w:tcPr>
            <w:tcW w:type="dxa" w:w="1701"/>
            <w:shd w:val="clear" w:color="auto" w:fill="F2F2F2"/>
          </w:tcPr>
          <w:p>
            <w:pPr>
              <w:spacing w:after="20" w:line="240" w:lineRule="auto"/>
              <w:jc w:val="left"/>
            </w:pPr>
            <w:r/>
            <w:r>
              <w:rPr>
                <w:sz w:val="16"/>
              </w:rPr>
              <w:t>Naive Bayes</w:t>
            </w:r>
          </w:p>
        </w:tc>
        <w:tc>
          <w:tcPr>
            <w:tcW w:type="dxa" w:w="6236"/>
            <w:shd w:val="clear" w:color="auto" w:fill="F2F2F2"/>
          </w:tcPr>
          <w:p>
            <w:pPr>
              <w:spacing w:after="20" w:line="240" w:lineRule="auto"/>
              <w:jc w:val="center"/>
            </w:pPr>
            <w:r/>
            <w:r>
              <w:rPr>
                <w:sz w:val="16"/>
              </w:rPr>
              <w:t>var_smoothing ∈ {1e-9,1e-6,1e-3,1e-1}; reamostragem</w:t>
            </w:r>
          </w:p>
        </w:tc>
        <w:tc>
          <w:tcPr>
            <w:tcW w:type="dxa" w:w="1134"/>
            <w:shd w:val="clear" w:color="auto" w:fill="F2F2F2"/>
          </w:tcPr>
          <w:p>
            <w:pPr>
              <w:spacing w:after="20" w:line="240" w:lineRule="auto"/>
              <w:jc w:val="center"/>
            </w:pPr>
            <w:r/>
            <w:r>
              <w:rPr>
                <w:sz w:val="16"/>
              </w:rPr>
              <w:t>8</w:t>
            </w:r>
          </w:p>
        </w:tc>
      </w:tr>
      <w:tr>
        <w:tc>
          <w:tcPr>
            <w:tcW w:type="dxa" w:w="1701"/>
          </w:tcPr>
          <w:p>
            <w:pPr>
              <w:spacing w:after="20" w:line="240" w:lineRule="auto"/>
              <w:jc w:val="left"/>
            </w:pPr>
            <w:r/>
            <w:r>
              <w:rPr>
                <w:sz w:val="16"/>
              </w:rPr>
              <w:t>MLP</w:t>
            </w:r>
          </w:p>
        </w:tc>
        <w:tc>
          <w:tcPr>
            <w:tcW w:type="dxa" w:w="6236"/>
          </w:tcPr>
          <w:p>
            <w:pPr>
              <w:spacing w:after="20" w:line="240" w:lineRule="auto"/>
              <w:jc w:val="center"/>
            </w:pPr>
            <w:r/>
            <w:r>
              <w:rPr>
                <w:sz w:val="16"/>
              </w:rPr>
              <w:t>hidden_layer_sizes ∈ {(32),(64),(64,32)}; alpha ∈ {1e-4,1e-2}; learning_rate_init ∈ {1e-3,1e-2}; reamostragem; early stopping, máx. 600 iterações</w:t>
            </w:r>
          </w:p>
        </w:tc>
        <w:tc>
          <w:tcPr>
            <w:tcW w:type="dxa" w:w="1134"/>
          </w:tcPr>
          <w:p>
            <w:pPr>
              <w:spacing w:after="20" w:line="240" w:lineRule="auto"/>
              <w:jc w:val="center"/>
            </w:pPr>
            <w:r/>
            <w:r>
              <w:rPr>
                <w:sz w:val="16"/>
              </w:rPr>
              <w:t>24</w:t>
            </w:r>
          </w:p>
        </w:tc>
      </w:tr>
      <w:tr>
        <w:tc>
          <w:tcPr>
            <w:tcW w:type="dxa" w:w="1701"/>
            <w:shd w:val="clear" w:color="auto" w:fill="F2F2F2"/>
          </w:tcPr>
          <w:p>
            <w:pPr>
              <w:spacing w:after="20" w:line="240" w:lineRule="auto"/>
              <w:jc w:val="left"/>
            </w:pPr>
            <w:r/>
            <w:r>
              <w:rPr>
                <w:sz w:val="16"/>
              </w:rPr>
              <w:t>Random Forest</w:t>
            </w:r>
          </w:p>
        </w:tc>
        <w:tc>
          <w:tcPr>
            <w:tcW w:type="dxa" w:w="6236"/>
            <w:shd w:val="clear" w:color="auto" w:fill="F2F2F2"/>
          </w:tcPr>
          <w:p>
            <w:pPr>
              <w:spacing w:after="20" w:line="240" w:lineRule="auto"/>
              <w:jc w:val="center"/>
            </w:pPr>
            <w:r/>
            <w:r>
              <w:rPr>
                <w:sz w:val="16"/>
              </w:rPr>
              <w:t>n_estimators ∈ {300,600}; max_features ∈ {sqrt, 0,5}; min_samples_leaf ∈ {1,2}; reamostragem</w:t>
            </w:r>
          </w:p>
        </w:tc>
        <w:tc>
          <w:tcPr>
            <w:tcW w:type="dxa" w:w="1134"/>
            <w:shd w:val="clear" w:color="auto" w:fill="F2F2F2"/>
          </w:tcPr>
          <w:p>
            <w:pPr>
              <w:spacing w:after="20" w:line="240" w:lineRule="auto"/>
              <w:jc w:val="center"/>
            </w:pPr>
            <w:r/>
            <w:r>
              <w:rPr>
                <w:sz w:val="16"/>
              </w:rPr>
              <w:t>16</w:t>
            </w:r>
          </w:p>
        </w:tc>
      </w:tr>
      <w:tr>
        <w:tc>
          <w:tcPr>
            <w:tcW w:type="dxa" w:w="1701"/>
          </w:tcPr>
          <w:p>
            <w:pPr>
              <w:spacing w:after="20" w:line="240" w:lineRule="auto"/>
              <w:jc w:val="left"/>
            </w:pPr>
            <w:r/>
            <w:r>
              <w:rPr>
                <w:sz w:val="16"/>
              </w:rPr>
              <w:t>Bagging</w:t>
            </w:r>
          </w:p>
        </w:tc>
        <w:tc>
          <w:tcPr>
            <w:tcW w:type="dxa" w:w="6236"/>
          </w:tcPr>
          <w:p>
            <w:pPr>
              <w:spacing w:after="20" w:line="240" w:lineRule="auto"/>
              <w:jc w:val="center"/>
            </w:pPr>
            <w:r/>
            <w:r>
              <w:rPr>
                <w:sz w:val="16"/>
              </w:rPr>
              <w:t>n_estimators ∈ {50,200}; max_samples ∈ {0,7; 1,0}; profundidade da árvore base ∈ {None,12}; reamostragem</w:t>
            </w:r>
          </w:p>
        </w:tc>
        <w:tc>
          <w:tcPr>
            <w:tcW w:type="dxa" w:w="1134"/>
          </w:tcPr>
          <w:p>
            <w:pPr>
              <w:spacing w:after="20" w:line="240" w:lineRule="auto"/>
              <w:jc w:val="center"/>
            </w:pPr>
            <w:r/>
            <w:r>
              <w:rPr>
                <w:sz w:val="16"/>
              </w:rPr>
              <w:t>16</w:t>
            </w:r>
          </w:p>
        </w:tc>
      </w:tr>
      <w:tr>
        <w:tc>
          <w:tcPr>
            <w:tcW w:type="dxa" w:w="1701"/>
            <w:shd w:val="clear" w:color="auto" w:fill="F2F2F2"/>
          </w:tcPr>
          <w:p>
            <w:pPr>
              <w:spacing w:after="20" w:line="240" w:lineRule="auto"/>
              <w:jc w:val="left"/>
            </w:pPr>
            <w:r/>
            <w:r>
              <w:rPr>
                <w:sz w:val="16"/>
              </w:rPr>
              <w:t>AdaBoost</w:t>
            </w:r>
          </w:p>
        </w:tc>
        <w:tc>
          <w:tcPr>
            <w:tcW w:type="dxa" w:w="6236"/>
            <w:shd w:val="clear" w:color="auto" w:fill="F2F2F2"/>
          </w:tcPr>
          <w:p>
            <w:pPr>
              <w:spacing w:after="20" w:line="240" w:lineRule="auto"/>
              <w:jc w:val="center"/>
            </w:pPr>
            <w:r/>
            <w:r>
              <w:rPr>
                <w:sz w:val="16"/>
              </w:rPr>
              <w:t>n_estimators ∈ {100,300}; learning_rate ∈ {0,3; 1,0}; profundidade da árvore base ∈ {1,3,5}; reamostragem</w:t>
            </w:r>
          </w:p>
        </w:tc>
        <w:tc>
          <w:tcPr>
            <w:tcW w:type="dxa" w:w="1134"/>
            <w:shd w:val="clear" w:color="auto" w:fill="F2F2F2"/>
          </w:tcPr>
          <w:p>
            <w:pPr>
              <w:spacing w:after="20" w:line="240" w:lineRule="auto"/>
              <w:jc w:val="center"/>
            </w:pPr>
            <w:r/>
            <w:r>
              <w:rPr>
                <w:sz w:val="16"/>
              </w:rPr>
              <w:t>24</w:t>
            </w:r>
          </w:p>
        </w:tc>
      </w:tr>
      <w:tr>
        <w:tc>
          <w:tcPr>
            <w:tcW w:type="dxa" w:w="1701"/>
          </w:tcPr>
          <w:p>
            <w:pPr>
              <w:spacing w:after="20" w:line="240" w:lineRule="auto"/>
              <w:jc w:val="left"/>
            </w:pPr>
            <w:r/>
            <w:r>
              <w:rPr>
                <w:sz w:val="16"/>
              </w:rPr>
              <w:t>Gradient Boosting</w:t>
            </w:r>
          </w:p>
        </w:tc>
        <w:tc>
          <w:tcPr>
            <w:tcW w:type="dxa" w:w="6236"/>
          </w:tcPr>
          <w:p>
            <w:pPr>
              <w:spacing w:after="20" w:line="240" w:lineRule="auto"/>
              <w:jc w:val="center"/>
            </w:pPr>
            <w:r/>
            <w:r>
              <w:rPr>
                <w:sz w:val="16"/>
              </w:rPr>
              <w:t>n_estimators ∈ {200,500}; learning_rate ∈ {0,05; 0,1}; max_depth ∈ {3,5,7}; subsample ∈ {0,8; 1,0}; reamostragem (pesquisa aleatória)</w:t>
            </w:r>
          </w:p>
        </w:tc>
        <w:tc>
          <w:tcPr>
            <w:tcW w:type="dxa" w:w="1134"/>
          </w:tcPr>
          <w:p>
            <w:pPr>
              <w:spacing w:after="20" w:line="240" w:lineRule="auto"/>
              <w:jc w:val="center"/>
            </w:pPr>
            <w:r/>
            <w:r>
              <w:rPr>
                <w:sz w:val="16"/>
              </w:rPr>
              <w:t>12 de 48</w:t>
            </w:r>
          </w:p>
        </w:tc>
      </w:tr>
      <w:tr>
        <w:tc>
          <w:tcPr>
            <w:tcW w:type="dxa" w:w="1701"/>
            <w:shd w:val="clear" w:color="auto" w:fill="F2F2F2"/>
          </w:tcPr>
          <w:p>
            <w:pPr>
              <w:spacing w:after="20" w:line="240" w:lineRule="auto"/>
              <w:jc w:val="left"/>
            </w:pPr>
            <w:r/>
            <w:r>
              <w:rPr>
                <w:sz w:val="16"/>
              </w:rPr>
              <w:t>Extra Trees</w:t>
            </w:r>
          </w:p>
        </w:tc>
        <w:tc>
          <w:tcPr>
            <w:tcW w:type="dxa" w:w="6236"/>
            <w:shd w:val="clear" w:color="auto" w:fill="F2F2F2"/>
          </w:tcPr>
          <w:p>
            <w:pPr>
              <w:spacing w:after="20" w:line="240" w:lineRule="auto"/>
              <w:jc w:val="center"/>
            </w:pPr>
            <w:r/>
            <w:r>
              <w:rPr>
                <w:sz w:val="16"/>
              </w:rPr>
              <w:t>n_estimators ∈ {300,600}; max_features ∈ {sqrt, 0,5, 0,8}; min_samples_leaf ∈ {1,2}; reamostragem</w:t>
            </w:r>
          </w:p>
        </w:tc>
        <w:tc>
          <w:tcPr>
            <w:tcW w:type="dxa" w:w="1134"/>
            <w:shd w:val="clear" w:color="auto" w:fill="F2F2F2"/>
          </w:tcPr>
          <w:p>
            <w:pPr>
              <w:spacing w:after="20" w:line="240" w:lineRule="auto"/>
              <w:jc w:val="center"/>
            </w:pPr>
            <w:r/>
            <w:r>
              <w:rPr>
                <w:sz w:val="16"/>
              </w:rPr>
              <w:t>24</w:t>
            </w:r>
          </w:p>
        </w:tc>
      </w:tr>
    </w:tbl>
    <w:p>
      <w:pPr>
        <w:spacing w:after="80"/>
      </w:pPr>
    </w:p>
    <w:p>
      <w:pPr>
        <w:keepNext/>
        <w:spacing w:after="60"/>
        <w:jc w:val="center"/>
      </w:pPr>
      <w:r>
        <w:rPr>
          <w:i/>
          <w:sz w:val="19"/>
        </w:rPr>
        <w:t>Tabela 18 – Hiperparâmetros selecionados por validação cruzada.</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9B1C2E"/>
          </w:tcPr>
          <w:p>
            <w:pPr>
              <w:spacing w:after="20" w:line="240" w:lineRule="auto"/>
              <w:jc w:val="center"/>
            </w:pPr>
            <w:r/>
            <w:r>
              <w:rPr>
                <w:b/>
                <w:color w:val="FFFFFF"/>
                <w:sz w:val="16"/>
              </w:rPr>
              <w:t>algoritmo</w:t>
            </w:r>
          </w:p>
        </w:tc>
        <w:tc>
          <w:tcPr>
            <w:tcW w:type="dxa" w:w="5669"/>
            <w:shd w:val="clear" w:color="auto" w:fill="9B1C2E"/>
          </w:tcPr>
          <w:p>
            <w:pPr>
              <w:spacing w:after="20" w:line="240" w:lineRule="auto"/>
              <w:jc w:val="center"/>
            </w:pPr>
            <w:r/>
            <w:r>
              <w:rPr>
                <w:b/>
                <w:color w:val="FFFFFF"/>
                <w:sz w:val="16"/>
              </w:rPr>
              <w:t>hiperparâmetros selecionados</w:t>
            </w:r>
          </w:p>
        </w:tc>
        <w:tc>
          <w:tcPr>
            <w:tcW w:type="dxa" w:w="1701"/>
            <w:shd w:val="clear" w:color="auto" w:fill="9B1C2E"/>
          </w:tcPr>
          <w:p>
            <w:pPr>
              <w:spacing w:after="20" w:line="240" w:lineRule="auto"/>
              <w:jc w:val="center"/>
            </w:pPr>
            <w:r/>
            <w:r>
              <w:rPr>
                <w:b/>
                <w:color w:val="FFFFFF"/>
                <w:sz w:val="16"/>
              </w:rPr>
              <w:t>reamostragem</w:t>
            </w:r>
          </w:p>
        </w:tc>
      </w:tr>
      <w:tr>
        <w:tc>
          <w:tcPr>
            <w:tcW w:type="dxa" w:w="1701"/>
          </w:tcPr>
          <w:p>
            <w:pPr>
              <w:spacing w:after="20" w:line="240" w:lineRule="auto"/>
              <w:jc w:val="left"/>
            </w:pPr>
            <w:r/>
            <w:r>
              <w:rPr>
                <w:sz w:val="16"/>
              </w:rPr>
              <w:t>KNN</w:t>
            </w:r>
          </w:p>
        </w:tc>
        <w:tc>
          <w:tcPr>
            <w:tcW w:type="dxa" w:w="5669"/>
          </w:tcPr>
          <w:p>
            <w:pPr>
              <w:spacing w:after="20" w:line="240" w:lineRule="auto"/>
              <w:jc w:val="center"/>
            </w:pPr>
            <w:r/>
            <w:r>
              <w:rPr>
                <w:sz w:val="16"/>
              </w:rPr>
              <w:t>n_neighbors=7; p=1; weights=distance</w:t>
            </w:r>
          </w:p>
        </w:tc>
        <w:tc>
          <w:tcPr>
            <w:tcW w:type="dxa" w:w="1701"/>
          </w:tcPr>
          <w:p>
            <w:pPr>
              <w:spacing w:after="20" w:line="240" w:lineRule="auto"/>
              <w:jc w:val="center"/>
            </w:pPr>
            <w:r/>
            <w:r>
              <w:rPr>
                <w:sz w:val="16"/>
              </w:rPr>
              <w:t>nenhuma</w:t>
            </w:r>
          </w:p>
        </w:tc>
      </w:tr>
      <w:tr>
        <w:tc>
          <w:tcPr>
            <w:tcW w:type="dxa" w:w="1701"/>
            <w:shd w:val="clear" w:color="auto" w:fill="F2F2F2"/>
          </w:tcPr>
          <w:p>
            <w:pPr>
              <w:spacing w:after="20" w:line="240" w:lineRule="auto"/>
              <w:jc w:val="left"/>
            </w:pPr>
            <w:r/>
            <w:r>
              <w:rPr>
                <w:sz w:val="16"/>
              </w:rPr>
              <w:t>Árvore de Decisão</w:t>
            </w:r>
          </w:p>
        </w:tc>
        <w:tc>
          <w:tcPr>
            <w:tcW w:type="dxa" w:w="5669"/>
            <w:shd w:val="clear" w:color="auto" w:fill="F2F2F2"/>
          </w:tcPr>
          <w:p>
            <w:pPr>
              <w:spacing w:after="20" w:line="240" w:lineRule="auto"/>
              <w:jc w:val="center"/>
            </w:pPr>
            <w:r/>
            <w:r>
              <w:rPr>
                <w:sz w:val="16"/>
              </w:rPr>
              <w:t>criterion=gini; max_depth=None; min_samples_leaf=1</w:t>
            </w:r>
          </w:p>
        </w:tc>
        <w:tc>
          <w:tcPr>
            <w:tcW w:type="dxa" w:w="1701"/>
            <w:shd w:val="clear" w:color="auto" w:fill="F2F2F2"/>
          </w:tcPr>
          <w:p>
            <w:pPr>
              <w:spacing w:after="20" w:line="240" w:lineRule="auto"/>
              <w:jc w:val="center"/>
            </w:pPr>
            <w:r/>
            <w:r>
              <w:rPr>
                <w:sz w:val="16"/>
              </w:rPr>
              <w:t>SMOTE</w:t>
            </w:r>
          </w:p>
        </w:tc>
      </w:tr>
      <w:tr>
        <w:tc>
          <w:tcPr>
            <w:tcW w:type="dxa" w:w="1701"/>
          </w:tcPr>
          <w:p>
            <w:pPr>
              <w:spacing w:after="20" w:line="240" w:lineRule="auto"/>
              <w:jc w:val="left"/>
            </w:pPr>
            <w:r/>
            <w:r>
              <w:rPr>
                <w:sz w:val="16"/>
              </w:rPr>
              <w:t>K-Means (classificador)</w:t>
            </w:r>
          </w:p>
        </w:tc>
        <w:tc>
          <w:tcPr>
            <w:tcW w:type="dxa" w:w="5669"/>
          </w:tcPr>
          <w:p>
            <w:pPr>
              <w:spacing w:after="20" w:line="240" w:lineRule="auto"/>
              <w:jc w:val="center"/>
            </w:pPr>
            <w:r/>
            <w:r>
              <w:rPr>
                <w:sz w:val="16"/>
              </w:rPr>
              <w:t>n_clusters=64</w:t>
            </w:r>
          </w:p>
        </w:tc>
        <w:tc>
          <w:tcPr>
            <w:tcW w:type="dxa" w:w="1701"/>
          </w:tcPr>
          <w:p>
            <w:pPr>
              <w:spacing w:after="20" w:line="240" w:lineRule="auto"/>
              <w:jc w:val="center"/>
            </w:pPr>
            <w:r/>
            <w:r>
              <w:rPr>
                <w:sz w:val="16"/>
              </w:rPr>
              <w:t>nenhuma</w:t>
            </w:r>
          </w:p>
        </w:tc>
      </w:tr>
      <w:tr>
        <w:tc>
          <w:tcPr>
            <w:tcW w:type="dxa" w:w="1701"/>
            <w:shd w:val="clear" w:color="auto" w:fill="F2F2F2"/>
          </w:tcPr>
          <w:p>
            <w:pPr>
              <w:spacing w:after="20" w:line="240" w:lineRule="auto"/>
              <w:jc w:val="left"/>
            </w:pPr>
            <w:r/>
            <w:r>
              <w:rPr>
                <w:sz w:val="16"/>
              </w:rPr>
              <w:t>Regressão Logística</w:t>
            </w:r>
          </w:p>
        </w:tc>
        <w:tc>
          <w:tcPr>
            <w:tcW w:type="dxa" w:w="5669"/>
            <w:shd w:val="clear" w:color="auto" w:fill="F2F2F2"/>
          </w:tcPr>
          <w:p>
            <w:pPr>
              <w:spacing w:after="20" w:line="240" w:lineRule="auto"/>
              <w:jc w:val="center"/>
            </w:pPr>
            <w:r/>
            <w:r>
              <w:rPr>
                <w:sz w:val="16"/>
              </w:rPr>
              <w:t>C=10</w:t>
            </w:r>
          </w:p>
        </w:tc>
        <w:tc>
          <w:tcPr>
            <w:tcW w:type="dxa" w:w="1701"/>
            <w:shd w:val="clear" w:color="auto" w:fill="F2F2F2"/>
          </w:tcPr>
          <w:p>
            <w:pPr>
              <w:spacing w:after="20" w:line="240" w:lineRule="auto"/>
              <w:jc w:val="center"/>
            </w:pPr>
            <w:r/>
            <w:r>
              <w:rPr>
                <w:sz w:val="16"/>
              </w:rPr>
              <w:t>nenhuma</w:t>
            </w:r>
          </w:p>
        </w:tc>
      </w:tr>
      <w:tr>
        <w:tc>
          <w:tcPr>
            <w:tcW w:type="dxa" w:w="1701"/>
          </w:tcPr>
          <w:p>
            <w:pPr>
              <w:spacing w:after="20" w:line="240" w:lineRule="auto"/>
              <w:jc w:val="left"/>
            </w:pPr>
            <w:r/>
            <w:r>
              <w:rPr>
                <w:sz w:val="16"/>
              </w:rPr>
              <w:t>Naive Bayes</w:t>
            </w:r>
          </w:p>
        </w:tc>
        <w:tc>
          <w:tcPr>
            <w:tcW w:type="dxa" w:w="5669"/>
          </w:tcPr>
          <w:p>
            <w:pPr>
              <w:spacing w:after="20" w:line="240" w:lineRule="auto"/>
              <w:jc w:val="center"/>
            </w:pPr>
            <w:r/>
            <w:r>
              <w:rPr>
                <w:sz w:val="16"/>
              </w:rPr>
              <w:t>var_smoothing=0.1</w:t>
            </w:r>
          </w:p>
        </w:tc>
        <w:tc>
          <w:tcPr>
            <w:tcW w:type="dxa" w:w="1701"/>
          </w:tcPr>
          <w:p>
            <w:pPr>
              <w:spacing w:after="20" w:line="240" w:lineRule="auto"/>
              <w:jc w:val="center"/>
            </w:pPr>
            <w:r/>
            <w:r>
              <w:rPr>
                <w:sz w:val="16"/>
              </w:rPr>
              <w:t>nenhuma</w:t>
            </w:r>
          </w:p>
        </w:tc>
      </w:tr>
      <w:tr>
        <w:tc>
          <w:tcPr>
            <w:tcW w:type="dxa" w:w="1701"/>
            <w:shd w:val="clear" w:color="auto" w:fill="F2F2F2"/>
          </w:tcPr>
          <w:p>
            <w:pPr>
              <w:spacing w:after="20" w:line="240" w:lineRule="auto"/>
              <w:jc w:val="left"/>
            </w:pPr>
            <w:r/>
            <w:r>
              <w:rPr>
                <w:sz w:val="16"/>
              </w:rPr>
              <w:t>MLP</w:t>
            </w:r>
          </w:p>
        </w:tc>
        <w:tc>
          <w:tcPr>
            <w:tcW w:type="dxa" w:w="5669"/>
            <w:shd w:val="clear" w:color="auto" w:fill="F2F2F2"/>
          </w:tcPr>
          <w:p>
            <w:pPr>
              <w:spacing w:after="20" w:line="240" w:lineRule="auto"/>
              <w:jc w:val="center"/>
            </w:pPr>
            <w:r/>
            <w:r>
              <w:rPr>
                <w:sz w:val="16"/>
              </w:rPr>
              <w:t>alpha=0.0001; hidden_layer_sizes=[64, 32]; learning_rate_init=0.01</w:t>
            </w:r>
          </w:p>
        </w:tc>
        <w:tc>
          <w:tcPr>
            <w:tcW w:type="dxa" w:w="1701"/>
            <w:shd w:val="clear" w:color="auto" w:fill="F2F2F2"/>
          </w:tcPr>
          <w:p>
            <w:pPr>
              <w:spacing w:after="20" w:line="240" w:lineRule="auto"/>
              <w:jc w:val="center"/>
            </w:pPr>
            <w:r/>
            <w:r>
              <w:rPr>
                <w:sz w:val="16"/>
              </w:rPr>
              <w:t>SMOTE</w:t>
            </w:r>
          </w:p>
        </w:tc>
      </w:tr>
      <w:tr>
        <w:tc>
          <w:tcPr>
            <w:tcW w:type="dxa" w:w="1701"/>
          </w:tcPr>
          <w:p>
            <w:pPr>
              <w:spacing w:after="20" w:line="240" w:lineRule="auto"/>
              <w:jc w:val="left"/>
            </w:pPr>
            <w:r/>
            <w:r>
              <w:rPr>
                <w:sz w:val="16"/>
              </w:rPr>
              <w:t>SVM</w:t>
            </w:r>
          </w:p>
        </w:tc>
        <w:tc>
          <w:tcPr>
            <w:tcW w:type="dxa" w:w="5669"/>
          </w:tcPr>
          <w:p>
            <w:pPr>
              <w:spacing w:after="20" w:line="240" w:lineRule="auto"/>
              <w:jc w:val="center"/>
            </w:pPr>
            <w:r/>
            <w:r>
              <w:rPr>
                <w:sz w:val="16"/>
              </w:rPr>
              <w:t>C=100; gamma=0.1; kernel=rbf</w:t>
            </w:r>
          </w:p>
        </w:tc>
        <w:tc>
          <w:tcPr>
            <w:tcW w:type="dxa" w:w="1701"/>
          </w:tcPr>
          <w:p>
            <w:pPr>
              <w:spacing w:after="20" w:line="240" w:lineRule="auto"/>
              <w:jc w:val="center"/>
            </w:pPr>
            <w:r/>
            <w:r>
              <w:rPr>
                <w:sz w:val="16"/>
              </w:rPr>
              <w:t>nenhuma</w:t>
            </w:r>
          </w:p>
        </w:tc>
      </w:tr>
      <w:tr>
        <w:tc>
          <w:tcPr>
            <w:tcW w:type="dxa" w:w="1701"/>
            <w:shd w:val="clear" w:color="auto" w:fill="F2F2F2"/>
          </w:tcPr>
          <w:p>
            <w:pPr>
              <w:spacing w:after="20" w:line="240" w:lineRule="auto"/>
              <w:jc w:val="left"/>
            </w:pPr>
            <w:r/>
            <w:r>
              <w:rPr>
                <w:sz w:val="16"/>
              </w:rPr>
              <w:t>Random Forest</w:t>
            </w:r>
          </w:p>
        </w:tc>
        <w:tc>
          <w:tcPr>
            <w:tcW w:type="dxa" w:w="5669"/>
            <w:shd w:val="clear" w:color="auto" w:fill="F2F2F2"/>
          </w:tcPr>
          <w:p>
            <w:pPr>
              <w:spacing w:after="20" w:line="240" w:lineRule="auto"/>
              <w:jc w:val="center"/>
            </w:pPr>
            <w:r/>
            <w:r>
              <w:rPr>
                <w:sz w:val="16"/>
              </w:rPr>
              <w:t>max_features=0.5; min_samples_leaf=1; n_estimators=600</w:t>
            </w:r>
          </w:p>
        </w:tc>
        <w:tc>
          <w:tcPr>
            <w:tcW w:type="dxa" w:w="1701"/>
            <w:shd w:val="clear" w:color="auto" w:fill="F2F2F2"/>
          </w:tcPr>
          <w:p>
            <w:pPr>
              <w:spacing w:after="20" w:line="240" w:lineRule="auto"/>
              <w:jc w:val="center"/>
            </w:pPr>
            <w:r/>
            <w:r>
              <w:rPr>
                <w:sz w:val="16"/>
              </w:rPr>
              <w:t>SMOTE</w:t>
            </w:r>
          </w:p>
        </w:tc>
      </w:tr>
      <w:tr>
        <w:tc>
          <w:tcPr>
            <w:tcW w:type="dxa" w:w="1701"/>
          </w:tcPr>
          <w:p>
            <w:pPr>
              <w:spacing w:after="20" w:line="240" w:lineRule="auto"/>
              <w:jc w:val="left"/>
            </w:pPr>
            <w:r/>
            <w:r>
              <w:rPr>
                <w:sz w:val="16"/>
              </w:rPr>
              <w:t>Bagging</w:t>
            </w:r>
          </w:p>
        </w:tc>
        <w:tc>
          <w:tcPr>
            <w:tcW w:type="dxa" w:w="5669"/>
          </w:tcPr>
          <w:p>
            <w:pPr>
              <w:spacing w:after="20" w:line="240" w:lineRule="auto"/>
              <w:jc w:val="center"/>
            </w:pPr>
            <w:r/>
            <w:r>
              <w:rPr>
                <w:sz w:val="16"/>
              </w:rPr>
              <w:t>base_max_depth=None; max_samples=1.0; n_estimators=50</w:t>
            </w:r>
          </w:p>
        </w:tc>
        <w:tc>
          <w:tcPr>
            <w:tcW w:type="dxa" w:w="1701"/>
          </w:tcPr>
          <w:p>
            <w:pPr>
              <w:spacing w:after="20" w:line="240" w:lineRule="auto"/>
              <w:jc w:val="center"/>
            </w:pPr>
            <w:r/>
            <w:r>
              <w:rPr>
                <w:sz w:val="16"/>
              </w:rPr>
              <w:t>SMOTE</w:t>
            </w:r>
          </w:p>
        </w:tc>
      </w:tr>
      <w:tr>
        <w:tc>
          <w:tcPr>
            <w:tcW w:type="dxa" w:w="1701"/>
            <w:shd w:val="clear" w:color="auto" w:fill="F2F2F2"/>
          </w:tcPr>
          <w:p>
            <w:pPr>
              <w:spacing w:after="20" w:line="240" w:lineRule="auto"/>
              <w:jc w:val="left"/>
            </w:pPr>
            <w:r/>
            <w:r>
              <w:rPr>
                <w:sz w:val="16"/>
              </w:rPr>
              <w:t>AdaBoost</w:t>
            </w:r>
          </w:p>
        </w:tc>
        <w:tc>
          <w:tcPr>
            <w:tcW w:type="dxa" w:w="5669"/>
            <w:shd w:val="clear" w:color="auto" w:fill="F2F2F2"/>
          </w:tcPr>
          <w:p>
            <w:pPr>
              <w:spacing w:after="20" w:line="240" w:lineRule="auto"/>
              <w:jc w:val="center"/>
            </w:pPr>
            <w:r/>
            <w:r>
              <w:rPr>
                <w:sz w:val="16"/>
              </w:rPr>
              <w:t>base_max_depth=5; learning_rate=1.0; n_estimators=300</w:t>
            </w:r>
          </w:p>
        </w:tc>
        <w:tc>
          <w:tcPr>
            <w:tcW w:type="dxa" w:w="1701"/>
            <w:shd w:val="clear" w:color="auto" w:fill="F2F2F2"/>
          </w:tcPr>
          <w:p>
            <w:pPr>
              <w:spacing w:after="20" w:line="240" w:lineRule="auto"/>
              <w:jc w:val="center"/>
            </w:pPr>
            <w:r/>
            <w:r>
              <w:rPr>
                <w:sz w:val="16"/>
              </w:rPr>
              <w:t>nenhuma</w:t>
            </w:r>
          </w:p>
        </w:tc>
      </w:tr>
      <w:tr>
        <w:tc>
          <w:tcPr>
            <w:tcW w:type="dxa" w:w="1701"/>
          </w:tcPr>
          <w:p>
            <w:pPr>
              <w:spacing w:after="20" w:line="240" w:lineRule="auto"/>
              <w:jc w:val="left"/>
            </w:pPr>
            <w:r/>
            <w:r>
              <w:rPr>
                <w:sz w:val="16"/>
              </w:rPr>
              <w:t>Gradient Boosting</w:t>
            </w:r>
          </w:p>
        </w:tc>
        <w:tc>
          <w:tcPr>
            <w:tcW w:type="dxa" w:w="5669"/>
          </w:tcPr>
          <w:p>
            <w:pPr>
              <w:spacing w:after="20" w:line="240" w:lineRule="auto"/>
              <w:jc w:val="center"/>
            </w:pPr>
            <w:r/>
            <w:r>
              <w:rPr>
                <w:sz w:val="16"/>
              </w:rPr>
              <w:t>subsample=0.8; n_estimators=200; max_depth=7; learning_rate=0.1</w:t>
            </w:r>
          </w:p>
        </w:tc>
        <w:tc>
          <w:tcPr>
            <w:tcW w:type="dxa" w:w="1701"/>
          </w:tcPr>
          <w:p>
            <w:pPr>
              <w:spacing w:after="20" w:line="240" w:lineRule="auto"/>
              <w:jc w:val="center"/>
            </w:pPr>
            <w:r/>
            <w:r>
              <w:rPr>
                <w:sz w:val="16"/>
              </w:rPr>
              <w:t>nenhuma</w:t>
            </w:r>
          </w:p>
        </w:tc>
      </w:tr>
      <w:tr>
        <w:tc>
          <w:tcPr>
            <w:tcW w:type="dxa" w:w="1701"/>
            <w:shd w:val="clear" w:color="auto" w:fill="F2F2F2"/>
          </w:tcPr>
          <w:p>
            <w:pPr>
              <w:spacing w:after="20" w:line="240" w:lineRule="auto"/>
              <w:jc w:val="left"/>
            </w:pPr>
            <w:r/>
            <w:r>
              <w:rPr>
                <w:sz w:val="16"/>
              </w:rPr>
              <w:t>Extra Trees</w:t>
            </w:r>
          </w:p>
        </w:tc>
        <w:tc>
          <w:tcPr>
            <w:tcW w:type="dxa" w:w="5669"/>
            <w:shd w:val="clear" w:color="auto" w:fill="F2F2F2"/>
          </w:tcPr>
          <w:p>
            <w:pPr>
              <w:spacing w:after="20" w:line="240" w:lineRule="auto"/>
              <w:jc w:val="center"/>
            </w:pPr>
            <w:r/>
            <w:r>
              <w:rPr>
                <w:sz w:val="16"/>
              </w:rPr>
              <w:t>max_features=0.8; min_samples_leaf=1; n_estimators=600</w:t>
            </w:r>
          </w:p>
        </w:tc>
        <w:tc>
          <w:tcPr>
            <w:tcW w:type="dxa" w:w="1701"/>
            <w:shd w:val="clear" w:color="auto" w:fill="F2F2F2"/>
          </w:tcPr>
          <w:p>
            <w:pPr>
              <w:spacing w:after="20" w:line="240" w:lineRule="auto"/>
              <w:jc w:val="center"/>
            </w:pPr>
            <w:r/>
            <w:r>
              <w:rPr>
                <w:sz w:val="16"/>
              </w:rPr>
              <w:t>nenhuma</w:t>
            </w:r>
          </w:p>
        </w:tc>
      </w:tr>
    </w:tbl>
    <w:p>
      <w:pPr>
        <w:spacing w:after="80"/>
      </w:pPr>
    </w:p>
    <w:p>
      <w:pPr>
        <w:pStyle w:val="Heading1"/>
      </w:pPr>
      <w:r>
        <w:t>Anexo B – Estrutura do código e reprodutibilidade</w:t>
      </w:r>
    </w:p>
    <w:p>
      <w:pPr>
        <w:jc w:val="both"/>
      </w:pPr>
      <w:r>
        <w:rPr>
          <w:b w:val="0"/>
          <w:i w:val="0"/>
        </w:rPr>
        <w:t>Todo o código encontra-se na pasta project/ e pode ser executado pela ordem seguinte, em Python 3 com as bibliotecas pandas, numpy, scipy, statsmodels, scikit-learn, imbalanced-learn, matplotlib, seaborn e python-docx:</w:t>
      </w:r>
    </w:p>
    <w:p>
      <w:pPr>
        <w:pStyle w:val="ListBullet"/>
        <w:spacing w:after="40"/>
        <w:jc w:val="both"/>
      </w:pPr>
      <w:r>
        <w:rPr>
          <w:b w:val="0"/>
        </w:rPr>
      </w:r>
      <w:r>
        <w:rPr>
          <w:b/>
        </w:rPr>
        <w:t>common.py</w:t>
      </w:r>
      <w:r>
        <w:rPr>
          <w:b w:val="0"/>
        </w:rPr>
        <w:t xml:space="preserve"> – leitura dos dados, divisão treino/validação (80/20 estratificada), objeto de validação cruzada (5 folds) e transformador Winsorizer.</w:t>
      </w:r>
    </w:p>
    <w:p>
      <w:pPr>
        <w:pStyle w:val="ListBullet"/>
        <w:spacing w:after="40"/>
        <w:jc w:val="both"/>
      </w:pPr>
      <w:r>
        <w:rPr>
          <w:b w:val="0"/>
        </w:rPr>
      </w:r>
      <w:r>
        <w:rPr>
          <w:b/>
        </w:rPr>
        <w:t>eda.py</w:t>
      </w:r>
      <w:r>
        <w:rPr>
          <w:b w:val="0"/>
        </w:rPr>
        <w:t xml:space="preserve"> – análise exploratória: estatísticas descritivas, histogramas, diagramas de caixa, correlações e testes de associação.</w:t>
      </w:r>
    </w:p>
    <w:p>
      <w:pPr>
        <w:pStyle w:val="ListBullet"/>
        <w:spacing w:after="40"/>
        <w:jc w:val="both"/>
      </w:pPr>
      <w:r>
        <w:rPr>
          <w:b w:val="0"/>
        </w:rPr>
      </w:r>
      <w:r>
        <w:rPr>
          <w:b/>
        </w:rPr>
        <w:t>prep.py</w:t>
      </w:r>
      <w:r>
        <w:rPr>
          <w:b w:val="0"/>
        </w:rPr>
        <w:t xml:space="preserve"> – preparação dos dados: valores em falta, outliers, desequilíbrio de classes, redundância e composição dos folds.</w:t>
      </w:r>
    </w:p>
    <w:p>
      <w:pPr>
        <w:pStyle w:val="ListBullet"/>
        <w:spacing w:after="40"/>
        <w:jc w:val="both"/>
      </w:pPr>
      <w:r>
        <w:rPr>
          <w:b w:val="0"/>
        </w:rPr>
      </w:r>
      <w:r>
        <w:rPr>
          <w:b/>
        </w:rPr>
        <w:t>model.py</w:t>
      </w:r>
      <w:r>
        <w:rPr>
          <w:b w:val="0"/>
        </w:rPr>
        <w:t xml:space="preserve"> – afinação, avaliação e comparação dos doze modelos; importâncias e verificações de robustez.</w:t>
      </w:r>
    </w:p>
    <w:p>
      <w:pPr>
        <w:pStyle w:val="ListBullet"/>
        <w:spacing w:after="40"/>
        <w:jc w:val="both"/>
      </w:pPr>
      <w:r>
        <w:rPr>
          <w:b w:val="0"/>
        </w:rPr>
      </w:r>
      <w:r>
        <w:rPr>
          <w:b/>
        </w:rPr>
        <w:t>trabalho_aatd.py</w:t>
      </w:r>
      <w:r>
        <w:rPr>
          <w:b w:val="0"/>
        </w:rPr>
        <w:t xml:space="preserve"> – versão num único ficheiro de todo o pipeline (EDA, preparação, modelação, avaliação e submissão); </w:t>
      </w:r>
      <w:r>
        <w:rPr>
          <w:b/>
        </w:rPr>
        <w:t>overfit_check.py</w:t>
      </w:r>
      <w:r>
        <w:rPr>
          <w:b w:val="0"/>
        </w:rPr>
        <w:t xml:space="preserve"> – verificação de sobreajuste.</w:t>
      </w:r>
    </w:p>
    <w:p>
      <w:pPr>
        <w:pStyle w:val="ListBullet"/>
        <w:spacing w:after="40"/>
        <w:jc w:val="both"/>
      </w:pPr>
      <w:r>
        <w:rPr>
          <w:b w:val="0"/>
        </w:rPr>
      </w:r>
      <w:r>
        <w:rPr>
          <w:b/>
        </w:rPr>
        <w:t>notebooks/</w:t>
      </w:r>
      <w:r>
        <w:rPr>
          <w:b w:val="0"/>
        </w:rPr>
        <w:t xml:space="preserve"> – notebooks AATD – DT, kNN, NB, SVM, K-Means e PreProc, no molde dos das aulas e aplicados aos dados do projeto (gerados por make_notebooks.py e make_preproc_notebook.py).</w:t>
      </w:r>
    </w:p>
    <w:p>
      <w:pPr>
        <w:pStyle w:val="ListBullet"/>
        <w:spacing w:after="40"/>
        <w:jc w:val="both"/>
      </w:pPr>
      <w:r>
        <w:rPr>
          <w:b w:val="0"/>
        </w:rPr>
      </w:r>
      <w:r>
        <w:rPr>
          <w:b/>
        </w:rPr>
        <w:t>final.py</w:t>
      </w:r>
      <w:r>
        <w:rPr>
          <w:b w:val="0"/>
        </w:rPr>
        <w:t xml:space="preserve"> – seleção do modelo, reajuste com todo o treino e geração de submission.csv.</w:t>
      </w:r>
    </w:p>
    <w:p>
      <w:pPr>
        <w:pStyle w:val="ListBullet"/>
        <w:spacing w:after="40"/>
        <w:jc w:val="both"/>
      </w:pPr>
      <w:r>
        <w:rPr>
          <w:b w:val="0"/>
        </w:rPr>
      </w:r>
      <w:r>
        <w:rPr>
          <w:b/>
        </w:rPr>
        <w:t>replot.py</w:t>
      </w:r>
      <w:r>
        <w:rPr>
          <w:b w:val="0"/>
        </w:rPr>
        <w:t xml:space="preserve"> e </w:t>
      </w:r>
      <w:r>
        <w:rPr>
          <w:b/>
        </w:rPr>
        <w:t>build_report.py</w:t>
      </w:r>
      <w:r>
        <w:rPr>
          <w:b w:val="0"/>
        </w:rPr>
        <w:t xml:space="preserve"> – versão final de duas figuras e geração deste relatório.</w:t>
      </w:r>
    </w:p>
    <w:p>
      <w:pPr>
        <w:pStyle w:val="ListBullet"/>
        <w:spacing w:after="40"/>
        <w:jc w:val="both"/>
      </w:pPr>
      <w:r>
        <w:rPr>
          <w:b w:val="0"/>
        </w:rPr>
      </w:r>
      <w:r>
        <w:rPr>
          <w:b/>
        </w:rPr>
        <w:t>results/</w:t>
      </w:r>
      <w:r>
        <w:rPr>
          <w:b w:val="0"/>
        </w:rPr>
        <w:t xml:space="preserve"> – tabelas em CSV/JSON; </w:t>
      </w:r>
      <w:r>
        <w:rPr>
          <w:b/>
        </w:rPr>
        <w:t>figs/</w:t>
      </w:r>
      <w:r>
        <w:rPr>
          <w:b w:val="0"/>
        </w:rPr>
        <w:t xml:space="preserve"> – figuras; </w:t>
      </w:r>
      <w:r>
        <w:rPr>
          <w:b/>
        </w:rPr>
        <w:t>data/</w:t>
      </w:r>
      <w:r>
        <w:rPr>
          <w:b w:val="0"/>
        </w:rPr>
        <w:t xml:space="preserve"> – dados e enunciado.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9B1C2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9B1C2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9B1C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