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39"/>
        <w:gridCol w:w="168"/>
        <w:gridCol w:w="541"/>
        <w:gridCol w:w="604"/>
        <w:gridCol w:w="264"/>
        <w:gridCol w:w="375"/>
        <w:gridCol w:w="266"/>
        <w:gridCol w:w="965"/>
        <w:gridCol w:w="71"/>
        <w:gridCol w:w="1261"/>
        <w:gridCol w:w="247"/>
        <w:gridCol w:w="645"/>
        <w:gridCol w:w="177"/>
        <w:gridCol w:w="269"/>
        <w:gridCol w:w="339"/>
        <w:gridCol w:w="1823"/>
      </w:tblGrid>
      <w:tr w:rsidR="00F87EAB" w:rsidRPr="005F612A" w14:paraId="4D7B32F1" w14:textId="77777777" w:rsidTr="00F1176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9244CC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66318E" w14:textId="108453E1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it-IT"/>
                <w14:ligatures w14:val="none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88008E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Agente chimico</w:t>
            </w:r>
          </w:p>
        </w:tc>
        <w:tc>
          <w:tcPr>
            <w:tcW w:w="5890" w:type="dxa"/>
            <w:gridSpan w:val="9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8A3E0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Liquido antigelo</w:t>
            </w:r>
          </w:p>
        </w:tc>
      </w:tr>
      <w:tr w:rsidR="00F87EAB" w:rsidRPr="005F612A" w14:paraId="58FA221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0A5E2690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7E76D9CC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A22D9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A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D17A08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IDENTIFICAZIONE AGENTE</w:t>
            </w:r>
          </w:p>
        </w:tc>
      </w:tr>
      <w:tr w:rsidR="00F87EAB" w:rsidRPr="005F612A" w14:paraId="5FB155BE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308E5721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5DC8BDA5" w14:textId="77777777" w:rsidTr="00F1176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133422D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Tipologia esposizione</w:t>
            </w:r>
          </w:p>
        </w:tc>
        <w:tc>
          <w:tcPr>
            <w:tcW w:w="3540" w:type="dxa"/>
            <w:gridSpan w:val="7"/>
            <w:tcBorders>
              <w:bottom w:val="single" w:sz="4" w:space="0" w:color="auto"/>
            </w:tcBorders>
          </w:tcPr>
          <w:p w14:paraId="167E7E42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0DBE6F8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Altri pericoli</w:t>
            </w:r>
          </w:p>
        </w:tc>
      </w:tr>
      <w:tr w:rsidR="00F87EAB" w:rsidRPr="005F612A" w14:paraId="31069706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9204099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55B2FBB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6430667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045985B9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796BB7AF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3472BE9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Instabilità </w:t>
            </w:r>
          </w:p>
        </w:tc>
      </w:tr>
      <w:tr w:rsidR="00F87EAB" w:rsidRPr="005F612A" w14:paraId="1C6EF52B" w14:textId="77777777" w:rsidTr="00F117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4DC97CB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DB8460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1642B81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AE5B1FB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8E9B3E9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38A7E7A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Incompatibilità con </w:t>
            </w:r>
          </w:p>
        </w:tc>
      </w:tr>
      <w:tr w:rsidR="00F87EAB" w:rsidRPr="005F612A" w14:paraId="6725F834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7C043FE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5FD4B27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138F5E0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13D82FE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1FD7246A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1B9CBDB1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Stato chimico-fisico</w:t>
            </w:r>
          </w:p>
        </w:tc>
      </w:tr>
      <w:tr w:rsidR="00F87EAB" w:rsidRPr="005F612A" w14:paraId="1323D2DA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shd w:val="clear" w:color="auto" w:fill="auto"/>
          </w:tcPr>
          <w:p w14:paraId="36AFD8FA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3A79CA7A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4"/>
            <w:vAlign w:val="center"/>
          </w:tcPr>
          <w:p w14:paraId="605CBB7A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60911FB2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TLV – IBE</w:t>
            </w:r>
          </w:p>
        </w:tc>
      </w:tr>
      <w:tr w:rsidR="00F87EAB" w:rsidRPr="00F87EAB" w14:paraId="6C2E05C1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4"/>
            <w:vAlign w:val="center"/>
          </w:tcPr>
          <w:p w14:paraId="6D5989DA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Glicol etilenico</w:t>
            </w:r>
          </w:p>
        </w:tc>
        <w:tc>
          <w:tcPr>
            <w:tcW w:w="3260" w:type="dxa"/>
            <w:gridSpan w:val="5"/>
            <w:vAlign w:val="center"/>
          </w:tcPr>
          <w:p w14:paraId="1F0A60BD" w14:textId="77777777" w:rsidR="00F87EAB" w:rsidRPr="005F612A" w:rsidRDefault="00F87EAB" w:rsidP="00F1176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it-IT"/>
                <w14:ligatures w14:val="none"/>
              </w:rPr>
              <w:t>VLE 8h: ppm 20 - 52 mg/m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vertAlign w:val="superscript"/>
                <w:lang w:val="en-US" w:eastAsia="it-IT"/>
                <w14:ligatures w14:val="none"/>
              </w:rPr>
              <w:t>3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it-IT"/>
                <w14:ligatures w14:val="none"/>
              </w:rPr>
              <w:br/>
              <w:t>VLE short: ppm 40 - 104 mg/m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vertAlign w:val="superscript"/>
                <w:lang w:val="en-US" w:eastAsia="it-IT"/>
                <w14:ligatures w14:val="none"/>
              </w:rPr>
              <w:t>3</w:t>
            </w:r>
          </w:p>
        </w:tc>
      </w:tr>
      <w:tr w:rsidR="00F87EAB" w:rsidRPr="00F87EAB" w14:paraId="53F5A337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3C9FA7D0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val="en-US" w:eastAsia="it-IT"/>
                <w14:ligatures w14:val="none"/>
              </w:rPr>
            </w:pPr>
          </w:p>
        </w:tc>
      </w:tr>
      <w:tr w:rsidR="00F87EAB" w:rsidRPr="005F612A" w14:paraId="603801EC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118347DB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Classificazione H</w:t>
            </w:r>
          </w:p>
        </w:tc>
        <w:tc>
          <w:tcPr>
            <w:tcW w:w="7416" w:type="dxa"/>
            <w:gridSpan w:val="13"/>
            <w:vAlign w:val="center"/>
          </w:tcPr>
          <w:p w14:paraId="74684BF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H302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Nocivo se ingerito.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br/>
            </w:r>
            <w:r w:rsidRPr="005F612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H373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Può provocare danni agli organi (reni), in caso di ingestione prolungata o ripetuta.</w:t>
            </w:r>
          </w:p>
        </w:tc>
      </w:tr>
      <w:tr w:rsidR="00F87EAB" w:rsidRPr="005F612A" w14:paraId="1556A0C9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5FAEB2D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4C0FE8D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1-10 a settimana</w:t>
            </w:r>
          </w:p>
        </w:tc>
        <w:tc>
          <w:tcPr>
            <w:tcW w:w="2472" w:type="dxa"/>
            <w:gridSpan w:val="5"/>
            <w:vAlign w:val="center"/>
          </w:tcPr>
          <w:p w14:paraId="1963D71F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26408C64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10-25% orario di lavoro</w:t>
            </w:r>
          </w:p>
        </w:tc>
      </w:tr>
      <w:tr w:rsidR="00F87EAB" w:rsidRPr="005F612A" w14:paraId="4D5359C6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37630B4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Categoria ex UNI EN 141</w:t>
            </w:r>
          </w:p>
        </w:tc>
        <w:tc>
          <w:tcPr>
            <w:tcW w:w="3903" w:type="dxa"/>
            <w:gridSpan w:val="7"/>
            <w:tcBorders>
              <w:bottom w:val="single" w:sz="4" w:space="0" w:color="auto"/>
            </w:tcBorders>
            <w:vAlign w:val="center"/>
          </w:tcPr>
          <w:p w14:paraId="6DB53900" w14:textId="77777777" w:rsidR="00F87EAB" w:rsidRPr="005F612A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A–Gas/vapori organici (punto ebollizione &gt; 65°C)</w:t>
            </w:r>
          </w:p>
          <w:p w14:paraId="5C589F66" w14:textId="77777777" w:rsidR="00F87EAB" w:rsidRPr="005F612A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4EE7E332" w14:textId="77777777" w:rsidR="00F87EAB" w:rsidRPr="005F612A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B–Gas/vapori inorganici</w:t>
            </w:r>
          </w:p>
          <w:p w14:paraId="3103D885" w14:textId="77777777" w:rsidR="00F87EAB" w:rsidRPr="005F612A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E–Gas/vapori acidi</w:t>
            </w:r>
          </w:p>
          <w:p w14:paraId="7B963A9C" w14:textId="77777777" w:rsidR="00F87EAB" w:rsidRPr="005F612A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K–Ammoniaca e derivati</w:t>
            </w:r>
          </w:p>
        </w:tc>
      </w:tr>
      <w:tr w:rsidR="00F87EAB" w:rsidRPr="005F612A" w14:paraId="6F248D6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11A7D860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726B2097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0860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B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433630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VALUTAZIONE DEL RISCHIO PER FATTORI (rischio stimato)</w:t>
            </w:r>
          </w:p>
        </w:tc>
      </w:tr>
      <w:tr w:rsidR="00F87EAB" w:rsidRPr="005F612A" w14:paraId="0C04C0D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12CE3645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3BB29FDD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D660445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DBE8596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Fattore durata</w:t>
            </w:r>
          </w:p>
        </w:tc>
        <w:tc>
          <w:tcPr>
            <w:tcW w:w="1710" w:type="dxa"/>
            <w:gridSpan w:val="4"/>
            <w:tcBorders>
              <w:right w:val="single" w:sz="12" w:space="0" w:color="auto"/>
            </w:tcBorders>
            <w:vAlign w:val="center"/>
          </w:tcPr>
          <w:p w14:paraId="5117A003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26268BC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8BF60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Classe di rischio</w:t>
            </w:r>
          </w:p>
        </w:tc>
      </w:tr>
      <w:tr w:rsidR="00F87EAB" w:rsidRPr="005F612A" w14:paraId="06051ECE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EABC0E5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4</w:t>
            </w:r>
          </w:p>
        </w:tc>
        <w:tc>
          <w:tcPr>
            <w:tcW w:w="1624" w:type="dxa"/>
            <w:gridSpan w:val="4"/>
            <w:vAlign w:val="center"/>
          </w:tcPr>
          <w:p w14:paraId="2E13E257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2</w:t>
            </w:r>
          </w:p>
        </w:tc>
        <w:tc>
          <w:tcPr>
            <w:tcW w:w="1710" w:type="dxa"/>
            <w:gridSpan w:val="4"/>
            <w:tcBorders>
              <w:right w:val="single" w:sz="12" w:space="0" w:color="auto"/>
            </w:tcBorders>
            <w:vAlign w:val="center"/>
          </w:tcPr>
          <w:p w14:paraId="4BDEF294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30D02D7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it-IT"/>
                <w14:ligatures w14:val="none"/>
              </w:rPr>
              <w:t>16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532BB3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  <w:p w14:paraId="6645D16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  <w:p w14:paraId="1F801A44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  <w:p w14:paraId="107C6A1D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  <w:p w14:paraId="0FFF91FC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9033E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&lt; 10 Irrilevante/Basso</w:t>
            </w:r>
          </w:p>
          <w:p w14:paraId="6924306F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11-25 Modesto</w:t>
            </w:r>
          </w:p>
          <w:p w14:paraId="2C62F46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26-50 Medio</w:t>
            </w:r>
          </w:p>
          <w:p w14:paraId="6B470AB4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51-75 Alto</w:t>
            </w:r>
          </w:p>
          <w:p w14:paraId="1F727BD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76-100 Alto</w:t>
            </w:r>
          </w:p>
        </w:tc>
      </w:tr>
      <w:tr w:rsidR="00F87EAB" w:rsidRPr="005F612A" w14:paraId="5322997C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0D7B6D7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197C1182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7198A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C</w:t>
            </w:r>
          </w:p>
        </w:tc>
        <w:tc>
          <w:tcPr>
            <w:tcW w:w="6991" w:type="dxa"/>
            <w:gridSpan w:val="15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B4BA7C4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6FBB95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Necessaria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 Sì 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 No</w:t>
            </w:r>
          </w:p>
        </w:tc>
      </w:tr>
      <w:tr w:rsidR="00F87EAB" w:rsidRPr="005F612A" w14:paraId="069D1A5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47B85B8D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432F05B6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54079D6B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15B0BC85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AE9E9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D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EC84D6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MISURE DI PREVENZIONE E PROTEZIONE (artt. 224, 225)</w:t>
            </w:r>
          </w:p>
        </w:tc>
      </w:tr>
      <w:tr w:rsidR="00F87EAB" w:rsidRPr="005F612A" w14:paraId="13368509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  <w:bottom w:val="single" w:sz="4" w:space="0" w:color="auto"/>
            </w:tcBorders>
          </w:tcPr>
          <w:p w14:paraId="383CE55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12E5462E" w14:textId="77777777" w:rsidTr="00F1176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1"/>
            <w:tcBorders>
              <w:right w:val="nil"/>
            </w:tcBorders>
          </w:tcPr>
          <w:p w14:paraId="2D9A629E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Riorganizzazione dei sistemi di lavorazione (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16C611A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Fornitura di attrezzature per il lavoro specifico (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47A00DBB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Riduzione al minimo degli esposti </w:t>
            </w:r>
          </w:p>
          <w:p w14:paraId="623BA582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Riduzione della durata e dell’intensità dell’esposizione</w:t>
            </w:r>
          </w:p>
          <w:p w14:paraId="25495F9E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Attuazione di misure igieniche idonee (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0AE5FFC0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Riduzione della quantità degli agenti presenti </w:t>
            </w:r>
          </w:p>
          <w:p w14:paraId="349129F0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Attuazione di metodi di lavoro appropriati (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4002B71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Processi lavorativi appropriati: installazione di un sistema di aspirazione localizzato sulle fonti di emissione</w:t>
            </w:r>
          </w:p>
          <w:p w14:paraId="43363A6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Fornitura dei DPI indicati di seguito</w:t>
            </w:r>
          </w:p>
          <w:p w14:paraId="126B6DD8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Attivazione della sorveglianza sanitaria</w:t>
            </w:r>
          </w:p>
          <w:p w14:paraId="3E61A49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Predisposizione di misure di emergenza ed allarme in caso di incidenti</w:t>
            </w:r>
          </w:p>
          <w:p w14:paraId="42F38294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Attuazione di un piano di formazione e informazione</w:t>
            </w:r>
          </w:p>
        </w:tc>
      </w:tr>
      <w:tr w:rsidR="00F87EAB" w:rsidRPr="005F612A" w14:paraId="2DB0B9E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00C20119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6C38B2FA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D8B7FF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E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179840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DISPOSITIVI DI PROTEZIONE INDIVIDUALE</w:t>
            </w:r>
          </w:p>
        </w:tc>
      </w:tr>
      <w:tr w:rsidR="00F87EAB" w:rsidRPr="005F612A" w14:paraId="1A9EE481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  <w:bottom w:val="single" w:sz="4" w:space="0" w:color="auto"/>
            </w:tcBorders>
          </w:tcPr>
          <w:p w14:paraId="563717F5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5F612A" w14:paraId="25594F25" w14:textId="77777777" w:rsidTr="00F1176C">
        <w:tblPrEx>
          <w:shd w:val="clear" w:color="auto" w:fill="auto"/>
        </w:tblPrEx>
        <w:tc>
          <w:tcPr>
            <w:tcW w:w="1809" w:type="dxa"/>
            <w:gridSpan w:val="5"/>
            <w:shd w:val="clear" w:color="auto" w:fill="auto"/>
          </w:tcPr>
          <w:p w14:paraId="5CB0DBD0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Occhi</w:t>
            </w:r>
          </w:p>
        </w:tc>
        <w:tc>
          <w:tcPr>
            <w:tcW w:w="1829" w:type="dxa"/>
            <w:gridSpan w:val="4"/>
            <w:shd w:val="clear" w:color="auto" w:fill="auto"/>
          </w:tcPr>
          <w:p w14:paraId="07EDA830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Mani</w:t>
            </w:r>
          </w:p>
        </w:tc>
        <w:tc>
          <w:tcPr>
            <w:tcW w:w="4015" w:type="dxa"/>
            <w:gridSpan w:val="8"/>
            <w:shd w:val="clear" w:color="auto" w:fill="auto"/>
          </w:tcPr>
          <w:p w14:paraId="4359E2F3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6A644FE1" w14:textId="77777777" w:rsidR="00F87EAB" w:rsidRPr="005F612A" w:rsidRDefault="00F87EAB" w:rsidP="00F1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Corpo</w:t>
            </w:r>
          </w:p>
        </w:tc>
      </w:tr>
      <w:tr w:rsidR="00F87EAB" w:rsidRPr="005F612A" w14:paraId="0424A02E" w14:textId="77777777" w:rsidTr="00F1176C">
        <w:tblPrEx>
          <w:shd w:val="clear" w:color="auto" w:fill="auto"/>
        </w:tblPrEx>
        <w:tc>
          <w:tcPr>
            <w:tcW w:w="1809" w:type="dxa"/>
            <w:gridSpan w:val="5"/>
            <w:shd w:val="clear" w:color="auto" w:fill="auto"/>
          </w:tcPr>
          <w:p w14:paraId="6E3E013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Occhiali protettivi ermetici 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proofErr w:type="spellStart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rif.</w:t>
            </w:r>
            <w:proofErr w:type="spellEnd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 xml:space="preserve"> norma EN 166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5BC0FBA9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</w:p>
        </w:tc>
        <w:tc>
          <w:tcPr>
            <w:tcW w:w="1829" w:type="dxa"/>
            <w:gridSpan w:val="4"/>
            <w:shd w:val="clear" w:color="auto" w:fill="auto"/>
          </w:tcPr>
          <w:p w14:paraId="15835F15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Guanti da lavoro di 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proofErr w:type="spellStart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rif.</w:t>
            </w:r>
            <w:proofErr w:type="spellEnd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 xml:space="preserve"> norma EN 374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) </w:t>
            </w:r>
          </w:p>
        </w:tc>
        <w:tc>
          <w:tcPr>
            <w:tcW w:w="4015" w:type="dxa"/>
            <w:gridSpan w:val="8"/>
            <w:shd w:val="clear" w:color="auto" w:fill="auto"/>
          </w:tcPr>
          <w:p w14:paraId="6BE3768D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Maschera antipolvere 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proofErr w:type="spellStart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rif.</w:t>
            </w:r>
            <w:proofErr w:type="spellEnd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 xml:space="preserve"> norma EN 149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1047FBD5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Maschera antigas 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proofErr w:type="spellStart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rif.</w:t>
            </w:r>
            <w:proofErr w:type="spellEnd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 xml:space="preserve"> norma EN 141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3494D08E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Filtri per maschera </w:t>
            </w:r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proofErr w:type="spellStart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rif.</w:t>
            </w:r>
            <w:proofErr w:type="spellEnd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 xml:space="preserve"> normativo EN </w:t>
            </w:r>
            <w:proofErr w:type="gramStart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14387 )</w:t>
            </w:r>
            <w:proofErr w:type="gramEnd"/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: 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A</w:t>
            </w:r>
          </w:p>
          <w:p w14:paraId="4C11979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Altro: 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59F0C0E3" w14:textId="77777777" w:rsidR="00F87EAB" w:rsidRPr="005F612A" w:rsidRDefault="00F87EAB" w:rsidP="00F1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5F612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Indumenti da lavoro con maniche lunghe e calzature di sicurezza per uso professionale 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proofErr w:type="spellStart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rif.</w:t>
            </w:r>
            <w:proofErr w:type="spellEnd"/>
            <w:r w:rsidRPr="005F612A">
              <w:rPr>
                <w:rFonts w:ascii="Times New Roman" w:eastAsia="Times New Roman" w:hAnsi="Times New Roman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 xml:space="preserve"> norma EN 20344</w:t>
            </w:r>
            <w:r w:rsidRPr="005F612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</w:tc>
      </w:tr>
    </w:tbl>
    <w:p w14:paraId="38C6819A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AB"/>
    <w:rsid w:val="00230D8C"/>
    <w:rsid w:val="00F8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AFCB73"/>
  <w15:chartTrackingRefBased/>
  <w15:docId w15:val="{C957DC23-4ABD-0341-90D3-3F4035CF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87EAB"/>
    <w:pPr>
      <w:spacing w:after="160" w:line="259" w:lineRule="auto"/>
    </w:pPr>
    <w:rPr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2023-12-06T14:04:00Z</dcterms:created>
  <dcterms:modified xsi:type="dcterms:W3CDTF">2023-12-06T14:04:00Z</dcterms:modified>
</cp:coreProperties>
</file>