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423"/>
      </w:tblGrid>
      <w:tr w:rsidR="006815BD" w:rsidTr="006815BD">
        <w:trPr>
          <w:trHeight w:val="454"/>
        </w:trPr>
        <w:tc>
          <w:tcPr>
            <w:tcW w:w="9908" w:type="dxa"/>
            <w:gridSpan w:val="2"/>
            <w:tcBorders>
              <w:top w:val="single" w:sz="12" w:space="0" w:color="auto"/>
              <w:left w:val="single" w:sz="12" w:space="0" w:color="auto"/>
              <w:bottom w:val="single" w:sz="12" w:space="0" w:color="auto"/>
              <w:right w:val="single" w:sz="12" w:space="0" w:color="auto"/>
            </w:tcBorders>
            <w:vAlign w:val="center"/>
            <w:hideMark/>
          </w:tcPr>
          <w:p w:rsidR="006815BD" w:rsidRDefault="006815BD">
            <w:pPr>
              <w:pStyle w:val="Titolo3"/>
              <w:spacing w:line="254" w:lineRule="auto"/>
              <w:rPr>
                <w:lang w:eastAsia="en-US"/>
              </w:rPr>
            </w:pPr>
            <w:bookmarkStart w:id="0" w:name="_Toc11235586"/>
            <w:bookmarkStart w:id="1" w:name="_Toc11315291"/>
            <w:bookmarkStart w:id="2" w:name="_GoBack" w:colFirst="0" w:colLast="0"/>
            <w:r>
              <w:rPr>
                <w:lang w:eastAsia="en-US"/>
              </w:rPr>
              <w:t xml:space="preserve">ATTREZZATURE: </w:t>
            </w:r>
            <w:bookmarkEnd w:id="0"/>
            <w:bookmarkEnd w:id="1"/>
            <w:r>
              <w:rPr>
                <w:lang w:eastAsia="en-US"/>
              </w:rPr>
              <w:t xml:space="preserve">MANTECATORI </w:t>
            </w:r>
          </w:p>
        </w:tc>
      </w:tr>
      <w:tr w:rsidR="006815BD" w:rsidTr="006815BD">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6815BD" w:rsidRDefault="006815BD">
            <w:pPr>
              <w:spacing w:line="254" w:lineRule="auto"/>
              <w:rPr>
                <w:b/>
                <w:lang w:eastAsia="en-US"/>
              </w:rPr>
            </w:pPr>
            <w:r>
              <w:rPr>
                <w:b/>
                <w:lang w:eastAsia="en-US"/>
              </w:rPr>
              <w:t>Possibili cause</w:t>
            </w:r>
          </w:p>
        </w:tc>
        <w:tc>
          <w:tcPr>
            <w:tcW w:w="7423" w:type="dxa"/>
            <w:tcBorders>
              <w:top w:val="single" w:sz="12" w:space="0" w:color="auto"/>
              <w:left w:val="single" w:sz="4" w:space="0" w:color="auto"/>
              <w:bottom w:val="single" w:sz="4" w:space="0" w:color="auto"/>
              <w:right w:val="single" w:sz="4" w:space="0" w:color="auto"/>
            </w:tcBorders>
            <w:vAlign w:val="center"/>
            <w:hideMark/>
          </w:tcPr>
          <w:p w:rsidR="006815BD" w:rsidRDefault="006815BD">
            <w:pPr>
              <w:spacing w:line="254" w:lineRule="auto"/>
              <w:rPr>
                <w:b/>
                <w:sz w:val="20"/>
                <w:szCs w:val="20"/>
                <w:lang w:eastAsia="en-US"/>
              </w:rPr>
            </w:pPr>
            <w:r>
              <w:rPr>
                <w:b/>
                <w:sz w:val="20"/>
                <w:szCs w:val="20"/>
                <w:lang w:eastAsia="en-US"/>
              </w:rPr>
              <w:t>Utilizzo improprio dell’attrezzatura</w:t>
            </w:r>
          </w:p>
          <w:p w:rsidR="006815BD" w:rsidRDefault="006815BD">
            <w:pPr>
              <w:spacing w:line="254" w:lineRule="auto"/>
              <w:rPr>
                <w:b/>
                <w:sz w:val="20"/>
                <w:szCs w:val="20"/>
                <w:lang w:eastAsia="en-US"/>
              </w:rPr>
            </w:pPr>
            <w:r>
              <w:rPr>
                <w:b/>
                <w:sz w:val="20"/>
                <w:szCs w:val="20"/>
                <w:lang w:eastAsia="en-US"/>
              </w:rPr>
              <w:t>Manutenzione ordinaria dell’attrezzattura</w:t>
            </w:r>
          </w:p>
          <w:p w:rsidR="006815BD" w:rsidRDefault="006815BD">
            <w:pPr>
              <w:spacing w:line="254" w:lineRule="auto"/>
              <w:rPr>
                <w:b/>
                <w:sz w:val="20"/>
                <w:szCs w:val="20"/>
                <w:lang w:eastAsia="en-US"/>
              </w:rPr>
            </w:pPr>
            <w:r>
              <w:rPr>
                <w:b/>
                <w:sz w:val="20"/>
                <w:szCs w:val="20"/>
                <w:lang w:eastAsia="en-US"/>
              </w:rPr>
              <w:t>Rischio per incompetenza dell’operatore</w:t>
            </w:r>
          </w:p>
        </w:tc>
      </w:tr>
      <w:tr w:rsidR="006815BD" w:rsidTr="006815BD">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6815BD" w:rsidRDefault="006815BD">
            <w:pPr>
              <w:spacing w:line="254" w:lineRule="auto"/>
              <w:rPr>
                <w:b/>
                <w:lang w:eastAsia="en-US"/>
              </w:rPr>
            </w:pPr>
            <w:r>
              <w:rPr>
                <w:b/>
                <w:lang w:eastAsia="en-US"/>
              </w:rPr>
              <w:t>Soggetti esposti</w:t>
            </w:r>
          </w:p>
        </w:tc>
        <w:tc>
          <w:tcPr>
            <w:tcW w:w="7423" w:type="dxa"/>
            <w:tcBorders>
              <w:top w:val="single" w:sz="4" w:space="0" w:color="auto"/>
              <w:left w:val="single" w:sz="4" w:space="0" w:color="auto"/>
              <w:bottom w:val="single" w:sz="4" w:space="0" w:color="auto"/>
              <w:right w:val="single" w:sz="4" w:space="0" w:color="auto"/>
            </w:tcBorders>
            <w:vAlign w:val="center"/>
            <w:hideMark/>
          </w:tcPr>
          <w:p w:rsidR="006815BD" w:rsidRDefault="006815BD">
            <w:pPr>
              <w:spacing w:line="254" w:lineRule="auto"/>
              <w:rPr>
                <w:bCs/>
                <w:iCs/>
                <w:sz w:val="20"/>
                <w:szCs w:val="18"/>
                <w:lang w:eastAsia="en-US"/>
              </w:rPr>
            </w:pPr>
            <w:r>
              <w:rPr>
                <w:bCs/>
                <w:iCs/>
                <w:sz w:val="20"/>
                <w:szCs w:val="18"/>
                <w:lang w:eastAsia="en-US"/>
              </w:rPr>
              <w:t>Lavoratori</w:t>
            </w:r>
          </w:p>
        </w:tc>
      </w:tr>
      <w:tr w:rsidR="006815BD" w:rsidTr="006815BD">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6815BD" w:rsidRDefault="006815BD">
            <w:pPr>
              <w:spacing w:line="254" w:lineRule="auto"/>
              <w:rPr>
                <w:b/>
                <w:lang w:eastAsia="en-US"/>
              </w:rPr>
            </w:pPr>
            <w:r>
              <w:rPr>
                <w:b/>
                <w:lang w:eastAsia="en-US"/>
              </w:rPr>
              <w:t>Effetti del rischio</w:t>
            </w:r>
          </w:p>
        </w:tc>
        <w:tc>
          <w:tcPr>
            <w:tcW w:w="7423" w:type="dxa"/>
            <w:tcBorders>
              <w:top w:val="single" w:sz="4" w:space="0" w:color="auto"/>
              <w:left w:val="single" w:sz="4" w:space="0" w:color="auto"/>
              <w:bottom w:val="single" w:sz="4" w:space="0" w:color="auto"/>
              <w:right w:val="single" w:sz="4" w:space="0" w:color="auto"/>
            </w:tcBorders>
            <w:vAlign w:val="center"/>
            <w:hideMark/>
          </w:tcPr>
          <w:p w:rsidR="006815BD" w:rsidRDefault="006815BD">
            <w:pPr>
              <w:spacing w:line="254" w:lineRule="auto"/>
              <w:rPr>
                <w:caps/>
                <w:sz w:val="20"/>
                <w:szCs w:val="20"/>
                <w:lang w:eastAsia="en-US"/>
              </w:rPr>
            </w:pPr>
            <w:r>
              <w:rPr>
                <w:caps/>
                <w:sz w:val="20"/>
                <w:szCs w:val="20"/>
                <w:lang w:eastAsia="en-US"/>
              </w:rPr>
              <w:t>Elettrico (</w:t>
            </w:r>
            <w:r>
              <w:rPr>
                <w:sz w:val="20"/>
                <w:szCs w:val="20"/>
                <w:lang w:eastAsia="en-US"/>
              </w:rPr>
              <w:t>Utilizzo impianti ed attrezzature</w:t>
            </w:r>
            <w:r>
              <w:rPr>
                <w:caps/>
                <w:sz w:val="20"/>
                <w:szCs w:val="20"/>
                <w:lang w:eastAsia="en-US"/>
              </w:rPr>
              <w:t>)</w:t>
            </w:r>
          </w:p>
          <w:p w:rsidR="006815BD" w:rsidRDefault="006815BD">
            <w:pPr>
              <w:spacing w:line="254" w:lineRule="auto"/>
              <w:rPr>
                <w:sz w:val="20"/>
                <w:szCs w:val="18"/>
                <w:lang w:eastAsia="en-US"/>
              </w:rPr>
            </w:pPr>
            <w:r>
              <w:rPr>
                <w:sz w:val="20"/>
                <w:szCs w:val="18"/>
                <w:lang w:eastAsia="en-US"/>
              </w:rPr>
              <w:t>LESIONI</w:t>
            </w:r>
          </w:p>
          <w:p w:rsidR="006815BD" w:rsidRDefault="006815BD">
            <w:pPr>
              <w:spacing w:line="254" w:lineRule="auto"/>
              <w:rPr>
                <w:sz w:val="20"/>
                <w:szCs w:val="18"/>
                <w:lang w:eastAsia="en-US"/>
              </w:rPr>
            </w:pPr>
            <w:r>
              <w:rPr>
                <w:sz w:val="20"/>
                <w:szCs w:val="18"/>
                <w:lang w:eastAsia="en-US"/>
              </w:rPr>
              <w:t xml:space="preserve">USTIONI </w:t>
            </w:r>
          </w:p>
        </w:tc>
      </w:tr>
      <w:tr w:rsidR="006815BD" w:rsidTr="006815BD">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6815BD" w:rsidRDefault="006815BD">
            <w:pPr>
              <w:spacing w:line="254" w:lineRule="auto"/>
              <w:rPr>
                <w:b/>
                <w:lang w:eastAsia="en-US"/>
              </w:rPr>
            </w:pPr>
            <w:r>
              <w:rPr>
                <w:b/>
                <w:lang w:eastAsia="en-US"/>
              </w:rPr>
              <w:t>Procedure di lavoro</w:t>
            </w:r>
          </w:p>
        </w:tc>
        <w:tc>
          <w:tcPr>
            <w:tcW w:w="7423" w:type="dxa"/>
            <w:tcBorders>
              <w:top w:val="single" w:sz="4" w:space="0" w:color="auto"/>
              <w:left w:val="single" w:sz="4" w:space="0" w:color="auto"/>
              <w:bottom w:val="single" w:sz="4" w:space="0" w:color="auto"/>
              <w:right w:val="single" w:sz="4" w:space="0" w:color="auto"/>
            </w:tcBorders>
            <w:vAlign w:val="center"/>
            <w:hideMark/>
          </w:tcPr>
          <w:p w:rsidR="006815BD" w:rsidRPr="006815BD" w:rsidRDefault="006815BD" w:rsidP="006815BD">
            <w:pPr>
              <w:pStyle w:val="Paragrafoelenco"/>
              <w:numPr>
                <w:ilvl w:val="0"/>
                <w:numId w:val="4"/>
              </w:numPr>
              <w:suppressAutoHyphens w:val="0"/>
              <w:spacing w:line="254" w:lineRule="auto"/>
              <w:jc w:val="both"/>
              <w:rPr>
                <w:sz w:val="20"/>
                <w:szCs w:val="20"/>
              </w:rPr>
            </w:pPr>
            <w:r w:rsidRPr="006815BD">
              <w:rPr>
                <w:sz w:val="20"/>
                <w:szCs w:val="20"/>
              </w:rPr>
              <w:t xml:space="preserve">All'inizio di ogni ciclo di lavoro effettuare regolari ispezioni del sistema di sicurezza per controllare il corretto funzionamento della centralina. Facendo girare a vuoto la macchina, il </w:t>
            </w:r>
            <w:proofErr w:type="spellStart"/>
            <w:r w:rsidRPr="006815BD">
              <w:rPr>
                <w:sz w:val="20"/>
                <w:szCs w:val="20"/>
              </w:rPr>
              <w:t>contollo</w:t>
            </w:r>
            <w:proofErr w:type="spellEnd"/>
            <w:r w:rsidRPr="006815BD">
              <w:rPr>
                <w:sz w:val="20"/>
                <w:szCs w:val="20"/>
              </w:rPr>
              <w:t xml:space="preserve"> si effettua aprendo e poi chiudendo il coperchio della macchina per verificare se interviene la sicurezza e blocca l'albero dell'agitatore</w:t>
            </w:r>
          </w:p>
          <w:p w:rsidR="006815BD" w:rsidRPr="006815BD" w:rsidRDefault="006815BD" w:rsidP="006815BD">
            <w:pPr>
              <w:pStyle w:val="Paragrafoelenco"/>
              <w:numPr>
                <w:ilvl w:val="0"/>
                <w:numId w:val="4"/>
              </w:numPr>
              <w:suppressAutoHyphens w:val="0"/>
              <w:spacing w:line="254" w:lineRule="auto"/>
              <w:jc w:val="both"/>
              <w:rPr>
                <w:sz w:val="20"/>
                <w:szCs w:val="20"/>
                <w:lang w:eastAsia="en-US"/>
              </w:rPr>
            </w:pPr>
            <w:r w:rsidRPr="006815BD">
              <w:rPr>
                <w:sz w:val="20"/>
                <w:szCs w:val="20"/>
              </w:rPr>
              <w:t>Controllare sempre che il ciclo di riscaldamento/raffreddamento sia terminato o comunque che la temperatura del prodotto visualizzata sul display sia sufficientemente bassa prima di aprire il coperchio o il portello d'estrazione;</w:t>
            </w:r>
          </w:p>
          <w:p w:rsidR="006815BD" w:rsidRPr="006815BD" w:rsidRDefault="006815BD" w:rsidP="006815BD">
            <w:pPr>
              <w:pStyle w:val="Paragrafoelenco"/>
              <w:numPr>
                <w:ilvl w:val="0"/>
                <w:numId w:val="4"/>
              </w:numPr>
              <w:suppressAutoHyphens w:val="0"/>
              <w:spacing w:line="254" w:lineRule="auto"/>
              <w:jc w:val="both"/>
              <w:rPr>
                <w:sz w:val="20"/>
                <w:szCs w:val="20"/>
                <w:lang w:eastAsia="en-US"/>
              </w:rPr>
            </w:pPr>
            <w:r w:rsidRPr="006815BD">
              <w:rPr>
                <w:sz w:val="20"/>
                <w:szCs w:val="20"/>
              </w:rPr>
              <w:t>Fare sempre molta attenzione in caso di interruzione dell'alimentazione elettrica durante il funzionamento, poiché la temperatura del prodotto nel cilindro potrebbe essere alta ed il display dell'apparecchio non può segnalarla;</w:t>
            </w:r>
          </w:p>
          <w:p w:rsidR="006815BD" w:rsidRPr="006815BD" w:rsidRDefault="006815BD" w:rsidP="006815BD">
            <w:pPr>
              <w:pStyle w:val="Paragrafoelenco"/>
              <w:numPr>
                <w:ilvl w:val="0"/>
                <w:numId w:val="4"/>
              </w:numPr>
              <w:suppressAutoHyphens w:val="0"/>
              <w:spacing w:line="254" w:lineRule="auto"/>
              <w:jc w:val="both"/>
              <w:rPr>
                <w:sz w:val="20"/>
                <w:szCs w:val="20"/>
                <w:lang w:eastAsia="en-US"/>
              </w:rPr>
            </w:pPr>
            <w:r w:rsidRPr="006815BD">
              <w:rPr>
                <w:sz w:val="20"/>
                <w:szCs w:val="20"/>
              </w:rPr>
              <w:t>Se non si è sicuri che la temperatura del prodotto sia sufficientemente bassa, non aprire mai il coperchio o il portello d'estrazione, se non in caso di estrema necessità. In tal caso indossare sempre idonee protezioni personali (guanti, tuta ecc.) Per evitare il contatto diretto con il prodotto.</w:t>
            </w:r>
          </w:p>
          <w:p w:rsidR="006815BD" w:rsidRPr="006815BD" w:rsidRDefault="006815BD" w:rsidP="006815BD">
            <w:pPr>
              <w:pStyle w:val="Paragrafoelenco"/>
              <w:numPr>
                <w:ilvl w:val="0"/>
                <w:numId w:val="4"/>
              </w:numPr>
              <w:suppressAutoHyphens w:val="0"/>
              <w:spacing w:line="254" w:lineRule="auto"/>
              <w:jc w:val="both"/>
              <w:rPr>
                <w:sz w:val="20"/>
                <w:szCs w:val="20"/>
                <w:lang w:eastAsia="en-US"/>
              </w:rPr>
            </w:pPr>
            <w:r w:rsidRPr="006815BD">
              <w:rPr>
                <w:sz w:val="20"/>
                <w:szCs w:val="20"/>
              </w:rPr>
              <w:t>Non inserire le dita o oggetti nelle griglie, nelle feritoie o nei fori dell'apparecchio.</w:t>
            </w:r>
          </w:p>
          <w:p w:rsidR="006815BD" w:rsidRPr="006815BD" w:rsidRDefault="006815BD" w:rsidP="006815BD">
            <w:pPr>
              <w:pStyle w:val="Paragrafoelenco"/>
              <w:numPr>
                <w:ilvl w:val="0"/>
                <w:numId w:val="4"/>
              </w:numPr>
              <w:suppressAutoHyphens w:val="0"/>
              <w:spacing w:line="254" w:lineRule="auto"/>
              <w:jc w:val="both"/>
              <w:rPr>
                <w:sz w:val="20"/>
                <w:szCs w:val="20"/>
                <w:lang w:eastAsia="en-US"/>
              </w:rPr>
            </w:pPr>
            <w:r w:rsidRPr="006815BD">
              <w:rPr>
                <w:sz w:val="20"/>
                <w:szCs w:val="20"/>
              </w:rPr>
              <w:t>Non rimuovere, spostare o nascondere mai e per nessun motivo la targa dei dati tecnici e gli adesivi di indicazione o di richiamo di pericolo applicati all'apparecchio.</w:t>
            </w:r>
          </w:p>
          <w:p w:rsidR="006815BD" w:rsidRPr="006815BD" w:rsidRDefault="006815BD" w:rsidP="006815BD">
            <w:pPr>
              <w:pStyle w:val="Paragrafoelenco"/>
              <w:numPr>
                <w:ilvl w:val="0"/>
                <w:numId w:val="4"/>
              </w:numPr>
              <w:suppressAutoHyphens w:val="0"/>
              <w:spacing w:line="254" w:lineRule="auto"/>
              <w:jc w:val="both"/>
              <w:rPr>
                <w:sz w:val="20"/>
                <w:szCs w:val="20"/>
                <w:lang w:eastAsia="en-US"/>
              </w:rPr>
            </w:pPr>
            <w:r w:rsidRPr="006815BD">
              <w:rPr>
                <w:sz w:val="20"/>
                <w:szCs w:val="20"/>
              </w:rPr>
              <w:t xml:space="preserve">Non aprire mai le pannellature di protezione. L'apparecchio non contiene all'interno parti gestibili dall'utilizzatore. </w:t>
            </w:r>
          </w:p>
          <w:p w:rsidR="006815BD" w:rsidRPr="006815BD" w:rsidRDefault="006815BD" w:rsidP="006815BD">
            <w:pPr>
              <w:pStyle w:val="Paragrafoelenco"/>
              <w:numPr>
                <w:ilvl w:val="0"/>
                <w:numId w:val="4"/>
              </w:numPr>
              <w:suppressAutoHyphens w:val="0"/>
              <w:spacing w:line="254" w:lineRule="auto"/>
              <w:jc w:val="both"/>
              <w:rPr>
                <w:sz w:val="20"/>
                <w:szCs w:val="20"/>
                <w:lang w:eastAsia="en-US"/>
              </w:rPr>
            </w:pPr>
            <w:r w:rsidRPr="006815BD">
              <w:rPr>
                <w:sz w:val="20"/>
                <w:szCs w:val="20"/>
              </w:rPr>
              <w:t xml:space="preserve">L'utilizzatore non deve eseguire operazioni che richiedano attrezzi non in dotazione all'apparecchio, nonché operazioni non contenute nel presente manuale d'istruzioni per l'uso. Tali operazioni sono riservate esclusivamente al servizio assistenza autorizzato. </w:t>
            </w:r>
          </w:p>
          <w:p w:rsidR="006815BD" w:rsidRPr="006815BD" w:rsidRDefault="006815BD" w:rsidP="006815BD">
            <w:pPr>
              <w:pStyle w:val="Paragrafoelenco"/>
              <w:numPr>
                <w:ilvl w:val="0"/>
                <w:numId w:val="4"/>
              </w:numPr>
              <w:suppressAutoHyphens w:val="0"/>
              <w:spacing w:line="254" w:lineRule="auto"/>
              <w:jc w:val="both"/>
              <w:rPr>
                <w:sz w:val="20"/>
                <w:szCs w:val="20"/>
                <w:lang w:eastAsia="en-US"/>
              </w:rPr>
            </w:pPr>
            <w:r w:rsidRPr="006815BD">
              <w:rPr>
                <w:sz w:val="20"/>
                <w:szCs w:val="20"/>
              </w:rPr>
              <w:t>Prima di procedere a qualsiasi operazione che richieda l’accesso alle parti in movimento togliere sempre l’alimentazione elettrica.</w:t>
            </w:r>
          </w:p>
          <w:p w:rsidR="006815BD" w:rsidRPr="006815BD" w:rsidRDefault="006815BD" w:rsidP="006815BD">
            <w:pPr>
              <w:pStyle w:val="Paragrafoelenco"/>
              <w:numPr>
                <w:ilvl w:val="0"/>
                <w:numId w:val="4"/>
              </w:numPr>
              <w:suppressAutoHyphens w:val="0"/>
              <w:spacing w:line="254" w:lineRule="auto"/>
              <w:jc w:val="both"/>
              <w:rPr>
                <w:sz w:val="20"/>
                <w:szCs w:val="20"/>
                <w:lang w:eastAsia="en-US"/>
              </w:rPr>
            </w:pPr>
            <w:r w:rsidRPr="006815BD">
              <w:rPr>
                <w:sz w:val="20"/>
                <w:szCs w:val="20"/>
              </w:rPr>
              <w:t>Qualsiasi modifica si rendesse necessaria all’impianto elettrico, dovrà essere effettuata esclusivamente da personale professionalmente qualificato ed abilitato.</w:t>
            </w:r>
          </w:p>
          <w:p w:rsidR="006815BD" w:rsidRPr="006815BD" w:rsidRDefault="006815BD" w:rsidP="006815BD">
            <w:pPr>
              <w:pStyle w:val="Paragrafoelenco"/>
              <w:numPr>
                <w:ilvl w:val="0"/>
                <w:numId w:val="4"/>
              </w:numPr>
              <w:suppressAutoHyphens w:val="0"/>
              <w:spacing w:line="254" w:lineRule="auto"/>
              <w:jc w:val="both"/>
              <w:rPr>
                <w:sz w:val="20"/>
                <w:szCs w:val="20"/>
                <w:lang w:eastAsia="en-US"/>
              </w:rPr>
            </w:pPr>
            <w:r w:rsidRPr="006815BD">
              <w:rPr>
                <w:sz w:val="20"/>
                <w:szCs w:val="20"/>
              </w:rPr>
              <w:t>L’apparecchio è stato progettato per essere utilizzato da persone adulte: evitare che venga usato da chi è incapace e non permettere ai bambini di avvicinarsi con l’intento di giocarvi.</w:t>
            </w:r>
          </w:p>
          <w:p w:rsidR="006815BD" w:rsidRPr="006815BD" w:rsidRDefault="006815BD" w:rsidP="006815BD">
            <w:pPr>
              <w:pStyle w:val="Paragrafoelenco"/>
              <w:numPr>
                <w:ilvl w:val="0"/>
                <w:numId w:val="4"/>
              </w:numPr>
              <w:suppressAutoHyphens w:val="0"/>
              <w:spacing w:line="254" w:lineRule="auto"/>
              <w:jc w:val="both"/>
              <w:rPr>
                <w:sz w:val="20"/>
                <w:szCs w:val="20"/>
                <w:lang w:eastAsia="en-US"/>
              </w:rPr>
            </w:pPr>
            <w:r w:rsidRPr="006815BD">
              <w:rPr>
                <w:sz w:val="20"/>
                <w:szCs w:val="20"/>
              </w:rPr>
              <w:t>Modificare o tentare di modificare questo apparecchio, oltre a far decadere qualsiasi forma di garanzia, può essere pericoloso</w:t>
            </w:r>
          </w:p>
          <w:p w:rsidR="006815BD" w:rsidRPr="006815BD" w:rsidRDefault="006815BD" w:rsidP="006815BD">
            <w:pPr>
              <w:pStyle w:val="Paragrafoelenco"/>
              <w:numPr>
                <w:ilvl w:val="0"/>
                <w:numId w:val="4"/>
              </w:numPr>
              <w:suppressAutoHyphens w:val="0"/>
              <w:spacing w:line="254" w:lineRule="auto"/>
              <w:jc w:val="both"/>
              <w:rPr>
                <w:sz w:val="20"/>
                <w:szCs w:val="20"/>
                <w:lang w:eastAsia="en-US"/>
              </w:rPr>
            </w:pPr>
            <w:r w:rsidRPr="006815BD">
              <w:rPr>
                <w:sz w:val="20"/>
                <w:szCs w:val="20"/>
              </w:rPr>
              <w:t xml:space="preserve">Non toccarlo con mani o piedi bagnati o umidi. </w:t>
            </w:r>
          </w:p>
          <w:p w:rsidR="006815BD" w:rsidRPr="006815BD" w:rsidRDefault="006815BD" w:rsidP="006815BD">
            <w:pPr>
              <w:pStyle w:val="Paragrafoelenco"/>
              <w:numPr>
                <w:ilvl w:val="0"/>
                <w:numId w:val="4"/>
              </w:numPr>
              <w:suppressAutoHyphens w:val="0"/>
              <w:spacing w:line="254" w:lineRule="auto"/>
              <w:jc w:val="both"/>
              <w:rPr>
                <w:sz w:val="20"/>
                <w:szCs w:val="20"/>
                <w:lang w:eastAsia="en-US"/>
              </w:rPr>
            </w:pPr>
            <w:r w:rsidRPr="006815BD">
              <w:rPr>
                <w:sz w:val="20"/>
                <w:szCs w:val="20"/>
              </w:rPr>
              <w:t>Non usarlo quando si è a piedi nudi.</w:t>
            </w:r>
          </w:p>
          <w:p w:rsidR="006815BD" w:rsidRPr="006815BD" w:rsidRDefault="006815BD" w:rsidP="006815BD">
            <w:pPr>
              <w:pStyle w:val="Paragrafoelenco"/>
              <w:numPr>
                <w:ilvl w:val="0"/>
                <w:numId w:val="4"/>
              </w:numPr>
              <w:suppressAutoHyphens w:val="0"/>
              <w:spacing w:line="254" w:lineRule="auto"/>
              <w:jc w:val="both"/>
              <w:rPr>
                <w:sz w:val="20"/>
                <w:szCs w:val="20"/>
                <w:lang w:eastAsia="en-US"/>
              </w:rPr>
            </w:pPr>
            <w:r w:rsidRPr="006815BD">
              <w:rPr>
                <w:sz w:val="20"/>
                <w:szCs w:val="20"/>
              </w:rPr>
              <w:t xml:space="preserve">Non tirare il cavo d’alimentazione per scollegarlo dalla rete elettrica. </w:t>
            </w:r>
          </w:p>
          <w:p w:rsidR="006815BD" w:rsidRPr="006815BD" w:rsidRDefault="006815BD" w:rsidP="006815BD">
            <w:pPr>
              <w:pStyle w:val="Paragrafoelenco"/>
              <w:numPr>
                <w:ilvl w:val="0"/>
                <w:numId w:val="4"/>
              </w:numPr>
              <w:suppressAutoHyphens w:val="0"/>
              <w:spacing w:line="254" w:lineRule="auto"/>
              <w:jc w:val="both"/>
              <w:rPr>
                <w:sz w:val="20"/>
                <w:szCs w:val="20"/>
                <w:lang w:eastAsia="en-US"/>
              </w:rPr>
            </w:pPr>
            <w:r w:rsidRPr="006815BD">
              <w:rPr>
                <w:sz w:val="20"/>
                <w:szCs w:val="20"/>
              </w:rPr>
              <w:t>Non esporre l'apparecchio alla pioggia ed evitare che penetrino liquidi all’interno dell’apparecchio, ad esempio durante la pulizia.</w:t>
            </w:r>
          </w:p>
          <w:p w:rsidR="006815BD" w:rsidRPr="006815BD" w:rsidRDefault="006815BD" w:rsidP="006815BD">
            <w:pPr>
              <w:pStyle w:val="Paragrafoelenco"/>
              <w:numPr>
                <w:ilvl w:val="0"/>
                <w:numId w:val="4"/>
              </w:numPr>
              <w:suppressAutoHyphens w:val="0"/>
              <w:spacing w:line="254" w:lineRule="auto"/>
              <w:jc w:val="both"/>
              <w:rPr>
                <w:sz w:val="20"/>
                <w:szCs w:val="20"/>
                <w:lang w:eastAsia="en-US"/>
              </w:rPr>
            </w:pPr>
            <w:r w:rsidRPr="006815BD">
              <w:rPr>
                <w:sz w:val="20"/>
                <w:szCs w:val="20"/>
              </w:rPr>
              <w:t>In caso di guasto e/o di cattivo funzionamento dell’apparecchio - ed ogni volta che si notino danni evidenti, soprattutto al cavo d’alimentazione - togliere tensione e rivolgersi al servizio assistenza per la riparazione.</w:t>
            </w:r>
          </w:p>
          <w:p w:rsidR="006815BD" w:rsidRPr="006815BD" w:rsidRDefault="006815BD" w:rsidP="006815BD">
            <w:pPr>
              <w:pStyle w:val="Paragrafoelenco"/>
              <w:numPr>
                <w:ilvl w:val="0"/>
                <w:numId w:val="4"/>
              </w:numPr>
              <w:suppressAutoHyphens w:val="0"/>
              <w:spacing w:line="254" w:lineRule="auto"/>
              <w:jc w:val="both"/>
              <w:rPr>
                <w:sz w:val="20"/>
                <w:szCs w:val="20"/>
                <w:lang w:eastAsia="en-US"/>
              </w:rPr>
            </w:pPr>
            <w:r w:rsidRPr="006815BD">
              <w:rPr>
                <w:sz w:val="20"/>
                <w:szCs w:val="20"/>
              </w:rPr>
              <w:lastRenderedPageBreak/>
              <w:t>Non manomettere mai i dispositivi di sicurezza</w:t>
            </w:r>
          </w:p>
        </w:tc>
      </w:tr>
      <w:tr w:rsidR="006815BD" w:rsidTr="006815BD">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6815BD" w:rsidRDefault="006815BD">
            <w:pPr>
              <w:spacing w:line="254" w:lineRule="auto"/>
              <w:rPr>
                <w:b/>
                <w:lang w:eastAsia="en-US"/>
              </w:rPr>
            </w:pPr>
            <w:r>
              <w:rPr>
                <w:b/>
                <w:lang w:eastAsia="en-US"/>
              </w:rPr>
              <w:lastRenderedPageBreak/>
              <w:t>Segnaletica</w:t>
            </w:r>
          </w:p>
        </w:tc>
        <w:tc>
          <w:tcPr>
            <w:tcW w:w="7423" w:type="dxa"/>
            <w:tcBorders>
              <w:top w:val="single" w:sz="4" w:space="0" w:color="auto"/>
              <w:left w:val="single" w:sz="4" w:space="0" w:color="auto"/>
              <w:bottom w:val="single" w:sz="4" w:space="0" w:color="auto"/>
              <w:right w:val="single" w:sz="4" w:space="0" w:color="auto"/>
            </w:tcBorders>
            <w:vAlign w:val="center"/>
          </w:tcPr>
          <w:p w:rsidR="006815BD" w:rsidRDefault="006815BD">
            <w:pPr>
              <w:spacing w:line="254" w:lineRule="auto"/>
              <w:rPr>
                <w:lang w:eastAsia="en-US"/>
              </w:rPr>
            </w:pPr>
            <w:r>
              <w:rPr>
                <w:noProof/>
                <w:lang w:eastAsia="en-US"/>
              </w:rPr>
              <w:drawing>
                <wp:anchor distT="0" distB="0" distL="114300" distR="114300" simplePos="0" relativeHeight="251659264" behindDoc="1" locked="0" layoutInCell="1" allowOverlap="1">
                  <wp:simplePos x="0" y="0"/>
                  <wp:positionH relativeFrom="column">
                    <wp:posOffset>-43180</wp:posOffset>
                  </wp:positionH>
                  <wp:positionV relativeFrom="paragraph">
                    <wp:posOffset>8255</wp:posOffset>
                  </wp:positionV>
                  <wp:extent cx="1313815" cy="467995"/>
                  <wp:effectExtent l="0" t="0" r="635" b="8255"/>
                  <wp:wrapNone/>
                  <wp:docPr id="1" name="Immagine 1"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5" descr="E1709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rsidR="006815BD" w:rsidRDefault="006815BD">
            <w:pPr>
              <w:spacing w:line="254" w:lineRule="auto"/>
              <w:rPr>
                <w:lang w:eastAsia="en-US"/>
              </w:rPr>
            </w:pPr>
          </w:p>
          <w:p w:rsidR="006815BD" w:rsidRDefault="006815BD">
            <w:pPr>
              <w:spacing w:line="254" w:lineRule="auto"/>
              <w:rPr>
                <w:lang w:eastAsia="en-US"/>
              </w:rPr>
            </w:pPr>
          </w:p>
        </w:tc>
      </w:tr>
      <w:tr w:rsidR="006815BD" w:rsidTr="006815BD">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6815BD" w:rsidRDefault="006815BD">
            <w:pPr>
              <w:spacing w:line="254" w:lineRule="auto"/>
              <w:rPr>
                <w:b/>
                <w:lang w:eastAsia="en-US"/>
              </w:rPr>
            </w:pPr>
            <w:r>
              <w:rPr>
                <w:b/>
                <w:lang w:eastAsia="en-US"/>
              </w:rPr>
              <w:t>DPI</w:t>
            </w:r>
          </w:p>
        </w:tc>
        <w:tc>
          <w:tcPr>
            <w:tcW w:w="7423" w:type="dxa"/>
            <w:tcBorders>
              <w:top w:val="single" w:sz="4" w:space="0" w:color="auto"/>
              <w:left w:val="single" w:sz="4" w:space="0" w:color="auto"/>
              <w:bottom w:val="single" w:sz="4" w:space="0" w:color="auto"/>
              <w:right w:val="single" w:sz="4" w:space="0" w:color="auto"/>
            </w:tcBorders>
            <w:vAlign w:val="center"/>
            <w:hideMark/>
          </w:tcPr>
          <w:p w:rsidR="006815BD" w:rsidRDefault="006815BD" w:rsidP="00890EBE">
            <w:pPr>
              <w:pStyle w:val="Paragrafoelenco"/>
              <w:numPr>
                <w:ilvl w:val="0"/>
                <w:numId w:val="2"/>
              </w:numPr>
              <w:spacing w:line="254" w:lineRule="auto"/>
              <w:rPr>
                <w:noProof/>
                <w:sz w:val="20"/>
                <w:szCs w:val="20"/>
                <w:lang w:eastAsia="en-US"/>
              </w:rPr>
            </w:pPr>
            <w:r>
              <w:rPr>
                <w:noProof/>
                <w:sz w:val="20"/>
                <w:szCs w:val="20"/>
                <w:lang w:eastAsia="en-US"/>
              </w:rPr>
              <w:t>In caso di utilizzo dell’attrezzatura in modo appropriato, come previsto dal manuale d’uso e manutenzione, i DPI non sono necessari.</w:t>
            </w:r>
          </w:p>
        </w:tc>
      </w:tr>
      <w:bookmarkEnd w:id="2"/>
    </w:tbl>
    <w:p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E6782"/>
    <w:multiLevelType w:val="hybridMultilevel"/>
    <w:tmpl w:val="524C93A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1F4A18B0"/>
    <w:multiLevelType w:val="hybridMultilevel"/>
    <w:tmpl w:val="167030C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 w15:restartNumberingAfterBreak="0">
    <w:nsid w:val="4C4E119A"/>
    <w:multiLevelType w:val="hybridMultilevel"/>
    <w:tmpl w:val="E52EC42C"/>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num w:numId="1">
    <w:abstractNumId w:val="1"/>
    <w:lvlOverride w:ilvl="0"/>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5BD"/>
    <w:rsid w:val="004F4F70"/>
    <w:rsid w:val="006815BD"/>
    <w:rsid w:val="0091039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4E1FA"/>
  <w15:chartTrackingRefBased/>
  <w15:docId w15:val="{3A379DE8-8DD4-4819-8FB3-DB39CBAAF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815BD"/>
    <w:pPr>
      <w:suppressAutoHyphens/>
      <w:autoSpaceDN w:val="0"/>
      <w:spacing w:after="0" w:line="240" w:lineRule="auto"/>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semiHidden/>
    <w:unhideWhenUsed/>
    <w:qFormat/>
    <w:rsid w:val="006815BD"/>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semiHidden/>
    <w:rsid w:val="006815BD"/>
    <w:rPr>
      <w:rFonts w:ascii="Times New Roman" w:eastAsia="Times New Roman" w:hAnsi="Times New Roman" w:cs="Arial"/>
      <w:b/>
      <w:bCs/>
      <w:color w:val="0000FF"/>
      <w:sz w:val="24"/>
      <w:szCs w:val="24"/>
      <w:lang w:eastAsia="it-IT"/>
    </w:rPr>
  </w:style>
  <w:style w:type="paragraph" w:styleId="Paragrafoelenco">
    <w:name w:val="List Paragraph"/>
    <w:basedOn w:val="Normale"/>
    <w:uiPriority w:val="34"/>
    <w:qFormat/>
    <w:rsid w:val="006815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5319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501</Words>
  <Characters>2856</Characters>
  <Application>Microsoft Office Word</Application>
  <DocSecurity>0</DocSecurity>
  <Lines>23</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2019-07-10T10:48:00Z</dcterms:created>
  <dcterms:modified xsi:type="dcterms:W3CDTF">2019-07-10T11:00:00Z</dcterms:modified>
</cp:coreProperties>
</file>