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559B8" w:rsidTr="005C46B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559B8" w:rsidRDefault="00D559B8" w:rsidP="005C46B5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SALDATRICE OSSIACETILENICA </w:t>
            </w:r>
          </w:p>
        </w:tc>
      </w:tr>
      <w:tr w:rsidR="00D559B8" w:rsidTr="005C46B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B8" w:rsidRDefault="00D559B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B8" w:rsidRDefault="00D559B8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D559B8" w:rsidRDefault="00D559B8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559B8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B8" w:rsidRDefault="00D559B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B8" w:rsidRDefault="00D559B8" w:rsidP="005C46B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559B8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B8" w:rsidRDefault="00D559B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B8" w:rsidRPr="00D559B8" w:rsidRDefault="00D559B8" w:rsidP="00D559B8">
            <w:pPr>
              <w:rPr>
                <w:rFonts w:ascii="Times" w:hAnsi="Times"/>
                <w:bCs/>
                <w:sz w:val="20"/>
                <w:szCs w:val="20"/>
              </w:rPr>
            </w:pPr>
            <w:r w:rsidRPr="00D559B8">
              <w:rPr>
                <w:rFonts w:ascii="Times" w:hAnsi="Times"/>
                <w:bCs/>
                <w:sz w:val="20"/>
                <w:szCs w:val="20"/>
              </w:rPr>
              <w:t>USTIONI TERMICHE</w:t>
            </w:r>
          </w:p>
          <w:p w:rsidR="00D559B8" w:rsidRPr="00D559B8" w:rsidRDefault="00D559B8" w:rsidP="00D559B8">
            <w:pPr>
              <w:rPr>
                <w:rFonts w:ascii="Times" w:hAnsi="Times"/>
                <w:bCs/>
                <w:sz w:val="20"/>
                <w:szCs w:val="20"/>
              </w:rPr>
            </w:pPr>
            <w:r w:rsidRPr="00D559B8">
              <w:rPr>
                <w:rFonts w:ascii="Times" w:hAnsi="Times"/>
                <w:bCs/>
                <w:sz w:val="20"/>
                <w:szCs w:val="20"/>
              </w:rPr>
              <w:t>INALAZIONI DI FUMI E GAS</w:t>
            </w:r>
          </w:p>
          <w:p w:rsidR="00D559B8" w:rsidRPr="00D559B8" w:rsidRDefault="00D559B8" w:rsidP="00D559B8">
            <w:pPr>
              <w:spacing w:line="256" w:lineRule="auto"/>
              <w:rPr>
                <w:rFonts w:ascii="Times" w:hAnsi="Times"/>
                <w:bCs/>
                <w:sz w:val="20"/>
                <w:szCs w:val="20"/>
              </w:rPr>
            </w:pPr>
            <w:r w:rsidRPr="00D559B8">
              <w:rPr>
                <w:rFonts w:ascii="Times" w:hAnsi="Times"/>
                <w:bCs/>
                <w:sz w:val="20"/>
                <w:szCs w:val="20"/>
              </w:rPr>
              <w:t>RADIAZIONI ULTRAVIOLETTE E IRRAGGIAMENTO</w:t>
            </w:r>
          </w:p>
          <w:p w:rsidR="00D559B8" w:rsidRPr="00D559B8" w:rsidRDefault="00D559B8" w:rsidP="00D559B8">
            <w:pPr>
              <w:rPr>
                <w:rFonts w:ascii="Times" w:hAnsi="Times"/>
                <w:bCs/>
                <w:sz w:val="20"/>
                <w:szCs w:val="20"/>
              </w:rPr>
            </w:pPr>
            <w:r w:rsidRPr="00D559B8">
              <w:rPr>
                <w:rFonts w:ascii="Times" w:hAnsi="Times" w:cs="Arial"/>
                <w:bCs/>
                <w:sz w:val="20"/>
                <w:szCs w:val="20"/>
              </w:rPr>
              <w:t>INCENDIO DI MATERIALI INFIAMMABILI</w:t>
            </w:r>
          </w:p>
          <w:p w:rsidR="00D559B8" w:rsidRPr="00D559B8" w:rsidRDefault="00D559B8" w:rsidP="00D559B8">
            <w:pPr>
              <w:rPr>
                <w:rFonts w:ascii="Times" w:hAnsi="Times"/>
                <w:bCs/>
                <w:sz w:val="20"/>
                <w:szCs w:val="20"/>
              </w:rPr>
            </w:pPr>
            <w:r w:rsidRPr="00D559B8">
              <w:rPr>
                <w:rFonts w:ascii="Times" w:hAnsi="Times"/>
                <w:bCs/>
                <w:sz w:val="20"/>
                <w:szCs w:val="20"/>
              </w:rPr>
              <w:t>CADUTA DI SCINTILLE E/O PROIEZIONE DI MATERIALE FUSO</w:t>
            </w:r>
          </w:p>
          <w:p w:rsidR="00D559B8" w:rsidRDefault="00D559B8" w:rsidP="00D559B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 w:rsidRPr="00D559B8">
              <w:rPr>
                <w:rFonts w:ascii="Times" w:hAnsi="Times"/>
                <w:bCs/>
                <w:sz w:val="20"/>
                <w:szCs w:val="20"/>
              </w:rPr>
              <w:t>ELETTROCUZIONE</w:t>
            </w:r>
          </w:p>
        </w:tc>
      </w:tr>
      <w:tr w:rsidR="00D559B8" w:rsidRPr="00D529F2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B8" w:rsidRDefault="00D559B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9B8" w:rsidRPr="00D559B8" w:rsidRDefault="00D559B8" w:rsidP="00D559B8">
            <w:pPr>
              <w:numPr>
                <w:ilvl w:val="0"/>
                <w:numId w:val="5"/>
              </w:numPr>
              <w:tabs>
                <w:tab w:val="left" w:pos="180"/>
              </w:tabs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Attenersi alle misure generali di prevenzione nei confronti dei singoli rischi sopra individuati</w:t>
            </w:r>
          </w:p>
          <w:p w:rsidR="00D559B8" w:rsidRPr="00D559B8" w:rsidRDefault="00D559B8" w:rsidP="00D559B8">
            <w:pPr>
              <w:numPr>
                <w:ilvl w:val="0"/>
                <w:numId w:val="5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 xml:space="preserve">Tutti i lavoratori devono essere adeguatamente informati e formati sulle corrette modalità di esecuzione delle attività e di utilizzo delle attrezzature (Art. 71 comma 7 lettera a) del D.lgs. n.81/08 </w:t>
            </w:r>
            <w:r w:rsidRPr="00D559B8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D559B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559B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559B8">
              <w:rPr>
                <w:sz w:val="20"/>
                <w:szCs w:val="20"/>
              </w:rPr>
              <w:t>)</w:t>
            </w:r>
          </w:p>
          <w:p w:rsidR="00D559B8" w:rsidRPr="00D559B8" w:rsidRDefault="00D559B8" w:rsidP="00D559B8">
            <w:pPr>
              <w:numPr>
                <w:ilvl w:val="0"/>
                <w:numId w:val="5"/>
              </w:numPr>
              <w:tabs>
                <w:tab w:val="left" w:pos="180"/>
              </w:tabs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Verificare periodicamente l'efficienza degli utensili e delle attrezzature utilizzate (Art 71 del D.lgs. n.81/08</w:t>
            </w:r>
            <w:r w:rsidRPr="00D559B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559B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559B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559B8">
              <w:rPr>
                <w:sz w:val="20"/>
                <w:szCs w:val="20"/>
              </w:rPr>
              <w:t>)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 xml:space="preserve">Vietare di eseguire operazioni di saldatura in condizioni di pericolo (Allegato IV punto 4 del </w:t>
            </w:r>
            <w:proofErr w:type="spellStart"/>
            <w:r w:rsidRPr="00D559B8">
              <w:rPr>
                <w:sz w:val="20"/>
                <w:szCs w:val="20"/>
              </w:rPr>
              <w:t>D.lgs</w:t>
            </w:r>
            <w:proofErr w:type="spellEnd"/>
            <w:r w:rsidRPr="00D559B8">
              <w:rPr>
                <w:sz w:val="20"/>
                <w:szCs w:val="20"/>
              </w:rPr>
              <w:t xml:space="preserve"> n.81/08</w:t>
            </w:r>
            <w:r w:rsidRPr="00D559B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559B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559B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559B8">
              <w:rPr>
                <w:sz w:val="20"/>
                <w:szCs w:val="20"/>
              </w:rPr>
              <w:t>), in particolare:</w:t>
            </w:r>
          </w:p>
          <w:p w:rsidR="00D559B8" w:rsidRPr="00D559B8" w:rsidRDefault="00D559B8" w:rsidP="00D559B8">
            <w:pPr>
              <w:numPr>
                <w:ilvl w:val="0"/>
                <w:numId w:val="7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su recipienti o tubi chiusi;</w:t>
            </w:r>
          </w:p>
          <w:p w:rsidR="00D559B8" w:rsidRPr="00D559B8" w:rsidRDefault="00D559B8" w:rsidP="00D559B8">
            <w:pPr>
              <w:numPr>
                <w:ilvl w:val="0"/>
                <w:numId w:val="7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 xml:space="preserve">su recipienti o tubi aperti che contengano materie le quali, sotto l’azione del calore, possano dar luogo ad esplosioni o reazioni pericolose; </w:t>
            </w:r>
          </w:p>
          <w:p w:rsidR="00D559B8" w:rsidRPr="00D559B8" w:rsidRDefault="00D559B8" w:rsidP="00D559B8">
            <w:pPr>
              <w:numPr>
                <w:ilvl w:val="0"/>
                <w:numId w:val="7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su recipienti o tubi aperti che abbiano contenuto materie le quali, nel passaggio in fase gassosa, possano dar luogo ad esplosioni o reazioni pericolo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Verificare, che tutte le apparecchiature dell’impianto di saldatura siano in efficienza, con particolare riferimento a riduttori di pressione, manometri e valvole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 xml:space="preserve">Verificare la stabilità dello </w:t>
            </w:r>
            <w:proofErr w:type="spellStart"/>
            <w:r w:rsidRPr="00D559B8">
              <w:rPr>
                <w:sz w:val="20"/>
                <w:szCs w:val="20"/>
              </w:rPr>
              <w:t>staffaggio</w:t>
            </w:r>
            <w:proofErr w:type="spellEnd"/>
            <w:r w:rsidRPr="00D559B8">
              <w:rPr>
                <w:sz w:val="20"/>
                <w:szCs w:val="20"/>
              </w:rPr>
              <w:t xml:space="preserve"> delle bombole di ossigeno e acetilene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Usare mezzi di fissaggio appropriati (fascette a vite) per evitare lo sfilamento delle tubazioni dai riduttori e dai cannelli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Provvedere ad un efficace ricambio dell’aria nei locali chiusi (Allegato IV punto 1.9.1 del D.lgs. n.81/08</w:t>
            </w:r>
            <w:r w:rsidRPr="00D559B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559B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559B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559B8">
              <w:rPr>
                <w:sz w:val="20"/>
                <w:szCs w:val="20"/>
              </w:rPr>
              <w:t>)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Non sottoporre le tubazioni a sforzi di trazione e non piegarle per interrompere l’afflusso dei gas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Distendere le tubazioni in curve ampie, lontano dai posti di passaggio, protette da calpestamenti, scintille, fonti di calore, e dal contatto con rottami taglienti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Accendere i cannelli con fiamma fissa o con appositi accenditori, non con fiammiferi, con scintille prodotte da mole o altri strumenti di fortuna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Interrompere il flusso dei gas chiudendo i rubinetti del cannello per ogni sospensione d’uso, pulizia o altra operazione sul cannello stesso. Soltanto per brevi pause si può mantenere accesa la fiamma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Deporre il cannello acceso soltanto nella posizione prefissata sul posto di saldatura, in modo che la fiamma non vada a contatto con bombole, materiali combustibili, ecc. o possa recare danno a persone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La captazione di gas e polveri deve avvenire immediatamente vicino alla fonte e in modo da non dover spostare continuamente la bocca della manichetta (Allegato IV punto 2.2.3 del D.lgs. n.81/08</w:t>
            </w:r>
            <w:r w:rsidRPr="00D559B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559B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559B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559B8">
              <w:rPr>
                <w:sz w:val="20"/>
                <w:szCs w:val="20"/>
              </w:rPr>
              <w:t>)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Verificare che l’ugello di uscita della lancia che sarà utilizzato sia pulito e non ostruito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14" w:hanging="357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 xml:space="preserve">Il banco di saldatura di saldatura e taglio </w:t>
            </w:r>
            <w:proofErr w:type="gramStart"/>
            <w:r w:rsidRPr="00D559B8">
              <w:rPr>
                <w:sz w:val="20"/>
                <w:szCs w:val="20"/>
              </w:rPr>
              <w:t>devono essere puliti</w:t>
            </w:r>
            <w:proofErr w:type="gramEnd"/>
            <w:r w:rsidRPr="00D559B8">
              <w:rPr>
                <w:sz w:val="20"/>
                <w:szCs w:val="20"/>
              </w:rPr>
              <w:t xml:space="preserve">, soprattutto non devono essere sporcati con grasso o lubrificanti e le apparecchiature 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Per la movimentazione dei pezzi saldati, utilizzare i guanti e/o le pinze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Non effettuare saldature in concomitanza con il trattamento con resine epossidiche o altre sostanze a rischio d'incendio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In caso di lavori di saldatura a terra o in quota, evitare il diffondersi delle scintille nell'ambiente circostante ed utilizzare delimitazioni o barriere, anche mobili, idonee a contenere le scintille e fiamme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lastRenderedPageBreak/>
              <w:t>Acquisire le schede di sicurezza delle materie prime utilizzate, nonché degli elettrodi di saldatura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Le operazioni di trattamento con prodotti protettivi e/o vernici degli elementi metallici devono essere segnalate o delimitate per evitare l'accesso alle persone non direttamente interessate ai lavori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Mantenere le bombole dell’acetilene in posizione verticale o poco inclinata e controllare che il prelievo orario non superi il quinto della capacità della bombola, per evitare uscite o trascinamenti dell’acetone (nel quale è disciolto l’acetilene), il quale, oltre a formare miscele esplosive, risulta narcotico ed infiamma le mucose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 xml:space="preserve">Allontanare dal luogo i materiali combustibili. Se ciò non fosse possibile si deve proteggerli con schemi parascintille e tenere a portata di mano uno o più estintori </w:t>
            </w:r>
            <w:r w:rsidRPr="00D559B8">
              <w:rPr>
                <w:sz w:val="20"/>
                <w:szCs w:val="20"/>
              </w:rPr>
              <w:t>(</w:t>
            </w:r>
            <w:r w:rsidRPr="00D559B8">
              <w:rPr>
                <w:color w:val="000000"/>
                <w:sz w:val="20"/>
                <w:szCs w:val="20"/>
              </w:rPr>
              <w:t xml:space="preserve">Allegato IV punto </w:t>
            </w:r>
            <w:proofErr w:type="gramStart"/>
            <w:r w:rsidRPr="00D559B8">
              <w:rPr>
                <w:color w:val="000000"/>
                <w:sz w:val="20"/>
                <w:szCs w:val="20"/>
              </w:rPr>
              <w:t>4  del</w:t>
            </w:r>
            <w:proofErr w:type="gramEnd"/>
            <w:r w:rsidRPr="00D559B8">
              <w:rPr>
                <w:color w:val="000000"/>
                <w:sz w:val="20"/>
                <w:szCs w:val="20"/>
              </w:rPr>
              <w:t xml:space="preserve"> D.lgs. n.81/08</w:t>
            </w:r>
            <w:r w:rsidRPr="00D559B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559B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559B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559B8">
              <w:rPr>
                <w:color w:val="000000"/>
                <w:sz w:val="20"/>
                <w:szCs w:val="20"/>
              </w:rPr>
              <w:t>)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Nell’uso di apparecchi mobili o nei lavori all’aperto, in generale, la ventilazione naturale si può considerare sufficiente. L’aspirazione va comunque, praticata nel caso di saldatura per periodi di tempo prolungati o nel caso di materiali zincati, verniciati o simili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Non usare fiamme, ma acqua saponata o appositi prodotti, per individuare eventuali fughe</w:t>
            </w:r>
            <w:r w:rsidRPr="00D559B8">
              <w:rPr>
                <w:sz w:val="20"/>
                <w:szCs w:val="20"/>
              </w:rPr>
              <w:t xml:space="preserve"> </w:t>
            </w:r>
            <w:r w:rsidRPr="00D559B8">
              <w:rPr>
                <w:color w:val="000000"/>
                <w:sz w:val="20"/>
                <w:szCs w:val="20"/>
              </w:rPr>
              <w:t>di gas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Non esaurire completamente le bombole, cessare l’utilizzazione quando la pressione in esse è di un bar (circa 1Kg/cm</w:t>
            </w:r>
            <w:proofErr w:type="gramStart"/>
            <w:r w:rsidRPr="00D559B8">
              <w:rPr>
                <w:color w:val="000000"/>
                <w:sz w:val="20"/>
                <w:szCs w:val="20"/>
                <w:vertAlign w:val="superscript"/>
              </w:rPr>
              <w:t xml:space="preserve">2 </w:t>
            </w:r>
            <w:r w:rsidRPr="00D559B8">
              <w:rPr>
                <w:color w:val="000000"/>
                <w:sz w:val="20"/>
                <w:szCs w:val="20"/>
              </w:rPr>
              <w:t>)</w:t>
            </w:r>
            <w:proofErr w:type="gramEnd"/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Estinguere la fiamma chiudendo le valvole del cannello, prima quella dell’acetilene e poi quella dell’ossigeno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A fine lavoro chiudere le valvole delle bombole (una per volta) fino a quando i manometri siano tornati a zero e allentare le viti di regolazione dei riduttori di pressione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 xml:space="preserve">Gli apparecchi mobili di saldatura a cannello devono essere trasportati soltanto mediante gli appositi carrelli atti ad assicurare la stabilità delle bombole e a evitare urti pericolosi. Al termine dei lavori gli apparecchi di lavoro devono essere posti in luoghi assegnati e non abbandonati negli impianti o nei luoghi di lavoro (Allegato VI punto </w:t>
            </w:r>
            <w:proofErr w:type="gramStart"/>
            <w:r w:rsidRPr="00D559B8">
              <w:rPr>
                <w:color w:val="000000"/>
                <w:sz w:val="20"/>
                <w:szCs w:val="20"/>
              </w:rPr>
              <w:t>11  del</w:t>
            </w:r>
            <w:proofErr w:type="gramEnd"/>
            <w:r w:rsidRPr="00D559B8">
              <w:rPr>
                <w:color w:val="000000"/>
                <w:sz w:val="20"/>
                <w:szCs w:val="20"/>
              </w:rPr>
              <w:t xml:space="preserve"> D.lgs. n.81/08</w:t>
            </w:r>
            <w:r w:rsidRPr="00D559B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559B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559B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559B8">
              <w:rPr>
                <w:color w:val="000000"/>
                <w:sz w:val="20"/>
                <w:szCs w:val="20"/>
              </w:rPr>
              <w:t>)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proofErr w:type="gramStart"/>
            <w:r w:rsidRPr="00D559B8">
              <w:rPr>
                <w:color w:val="000000"/>
                <w:sz w:val="20"/>
                <w:szCs w:val="20"/>
              </w:rPr>
              <w:t>In particolare</w:t>
            </w:r>
            <w:proofErr w:type="gramEnd"/>
            <w:r w:rsidRPr="00D559B8">
              <w:rPr>
                <w:color w:val="000000"/>
                <w:sz w:val="20"/>
                <w:szCs w:val="20"/>
              </w:rPr>
              <w:t xml:space="preserve"> le bombole devono:</w:t>
            </w:r>
          </w:p>
          <w:p w:rsidR="00D559B8" w:rsidRPr="00D559B8" w:rsidRDefault="00D559B8" w:rsidP="00D559B8">
            <w:pPr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Essere contraddistinte da fascia di colore bianco per l’ossigeno e di colore arancione, per l’acetilene</w:t>
            </w:r>
          </w:p>
          <w:p w:rsidR="00D559B8" w:rsidRPr="00D559B8" w:rsidRDefault="00D559B8" w:rsidP="00D559B8">
            <w:pPr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Avere la valvola protetta dall’apposito cappuccio metallico, quando non è applicato il riduttore</w:t>
            </w:r>
          </w:p>
          <w:p w:rsidR="00D559B8" w:rsidRPr="00D559B8" w:rsidRDefault="00D559B8" w:rsidP="00D559B8">
            <w:pPr>
              <w:numPr>
                <w:ilvl w:val="0"/>
                <w:numId w:val="8"/>
              </w:numPr>
              <w:suppressAutoHyphens w:val="0"/>
              <w:autoSpaceDN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Non essere esposte al sole o a sorgenti di calore, per evitare aumenti della pressione interna, né lasciate all’aperto nei mesi invernali. In caso di congelamento riscaldare con acqua calda o stracci caldi, mai con fiamma o calore eccessivo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I depositi delle bombole devono essere costituiti in locali non interrati ed abbondantemente arieggiati. In questi locali è vietato fumare o usare fiamme libere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Tale divieto deve essere portato a conoscenza di tutti mediante apposite segnalazioni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Le bombole di ossigeno e quelle di acetilene devono essere depositate in locali separati. Quelle piene devono essere distinte da quelle vuote, e devono essere ben ancorate al muro per evitare cadute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La movimentazione delle bombole deve avvenire senza sottoporle a urti o rotolamenti e sollecitazioni anomali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Le bombole, i regolatori, e i tubi di raccordo delle apparecchiature per saldare a gas, non devono essere in contatto con oli o grassi che in presenza di ossigeno, possono provocare violente esplosioni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Per la lubrificazione vanno usate miscele a base di glicerina o grafite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Adottare le misure di prevenzione incendi previste dalla normativa vigente e realizzare gli interventi tecnici ai fini della prevenzione incendi e del rilascio del CPI (Certificato Prevenzione Incendi) nei casi previsti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Predisporre un numero adeguato di estintori portatili in posizioni ben segnalate e facilmente raggiungibili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t>Garantire che l’impianto antincendio sia sottoposto a regolare manutenzione e che gli estintori vengano controllati da ditta specializzata ogni sei mesi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color w:val="000000"/>
                <w:sz w:val="20"/>
                <w:szCs w:val="20"/>
              </w:rPr>
            </w:pPr>
            <w:r w:rsidRPr="00D559B8">
              <w:rPr>
                <w:color w:val="000000"/>
                <w:sz w:val="20"/>
                <w:szCs w:val="20"/>
              </w:rPr>
              <w:lastRenderedPageBreak/>
              <w:t>Non indossare oggetti metallici (anelli, bracciali, ecc.) perché in corso di saldatura possono riscaldarsi notevolmente e produrre ustioni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 xml:space="preserve">Tutto il corpo degli operatori deve essere protetto con indumenti idonei e comunque non leggeri </w:t>
            </w:r>
            <w:proofErr w:type="gramStart"/>
            <w:r w:rsidRPr="00D559B8">
              <w:rPr>
                <w:sz w:val="20"/>
                <w:szCs w:val="20"/>
              </w:rPr>
              <w:t>ne</w:t>
            </w:r>
            <w:proofErr w:type="gramEnd"/>
            <w:r w:rsidRPr="00D559B8">
              <w:rPr>
                <w:sz w:val="20"/>
                <w:szCs w:val="20"/>
              </w:rPr>
              <w:t xml:space="preserve"> consumati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Proteggere gli occhi con dispositivi adeguati all’intensità delle radiazioni prodotte e al possibile rischio dovuto a schegge (Allegato VI del D.lgs. n.81/08</w:t>
            </w:r>
            <w:r w:rsidRPr="00D559B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559B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559B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559B8">
              <w:rPr>
                <w:sz w:val="20"/>
                <w:szCs w:val="20"/>
              </w:rPr>
              <w:t>)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Utilizzare sempre i dispositivi di protezione individuali previsti (Art.75-78 del D.lgs. n.81/08</w:t>
            </w:r>
            <w:r w:rsidRPr="00D559B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559B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559B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559B8">
              <w:rPr>
                <w:sz w:val="20"/>
                <w:szCs w:val="20"/>
              </w:rPr>
              <w:t>)</w:t>
            </w:r>
          </w:p>
          <w:p w:rsidR="00D559B8" w:rsidRPr="00D559B8" w:rsidRDefault="00D559B8" w:rsidP="00D559B8">
            <w:pPr>
              <w:numPr>
                <w:ilvl w:val="0"/>
                <w:numId w:val="6"/>
              </w:numPr>
              <w:tabs>
                <w:tab w:val="clear" w:pos="360"/>
                <w:tab w:val="num" w:pos="720"/>
              </w:tabs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  <w:r w:rsidRPr="00D559B8">
              <w:rPr>
                <w:sz w:val="20"/>
                <w:szCs w:val="20"/>
              </w:rPr>
              <w:t>Verificare l’uso costante dei D.P.I. da parte di tutto il personale operante (Art. 77 del D.lgs. n.81/08</w:t>
            </w:r>
            <w:r w:rsidRPr="00D559B8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559B8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559B8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559B8">
              <w:rPr>
                <w:sz w:val="20"/>
                <w:szCs w:val="20"/>
              </w:rPr>
              <w:t>)</w:t>
            </w:r>
          </w:p>
          <w:p w:rsidR="00D559B8" w:rsidRPr="00D559B8" w:rsidRDefault="00D559B8" w:rsidP="00D559B8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</w:p>
        </w:tc>
      </w:tr>
      <w:tr w:rsidR="00D559B8" w:rsidTr="005C46B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B8" w:rsidRDefault="00D559B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9B8" w:rsidRDefault="00D559B8" w:rsidP="005C46B5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0D9B03DB" wp14:editId="0EEFAC26">
                  <wp:simplePos x="0" y="0"/>
                  <wp:positionH relativeFrom="margin">
                    <wp:posOffset>5715</wp:posOffset>
                  </wp:positionH>
                  <wp:positionV relativeFrom="margin">
                    <wp:posOffset>1056640</wp:posOffset>
                  </wp:positionV>
                  <wp:extent cx="1427480" cy="619760"/>
                  <wp:effectExtent l="0" t="0" r="0" b="0"/>
                  <wp:wrapSquare wrapText="bothSides"/>
                  <wp:docPr id="194" name="Immagin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1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75EFA9F5" wp14:editId="06581FA8">
                  <wp:simplePos x="0" y="0"/>
                  <wp:positionH relativeFrom="margin">
                    <wp:posOffset>2788285</wp:posOffset>
                  </wp:positionH>
                  <wp:positionV relativeFrom="margin">
                    <wp:posOffset>523240</wp:posOffset>
                  </wp:positionV>
                  <wp:extent cx="1336040" cy="579755"/>
                  <wp:effectExtent l="0" t="0" r="0" b="0"/>
                  <wp:wrapSquare wrapText="bothSides"/>
                  <wp:docPr id="193" name="Immagin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3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040" cy="579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475AA9F4" wp14:editId="7C36DE9D">
                  <wp:simplePos x="0" y="0"/>
                  <wp:positionH relativeFrom="margin">
                    <wp:posOffset>1435100</wp:posOffset>
                  </wp:positionH>
                  <wp:positionV relativeFrom="margin">
                    <wp:posOffset>513715</wp:posOffset>
                  </wp:positionV>
                  <wp:extent cx="1358900" cy="579120"/>
                  <wp:effectExtent l="0" t="0" r="0" b="0"/>
                  <wp:wrapSquare wrapText="bothSides"/>
                  <wp:docPr id="191" name="Immagin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412137DC" wp14:editId="3268DC0C">
                  <wp:simplePos x="0" y="0"/>
                  <wp:positionH relativeFrom="margin">
                    <wp:posOffset>-24130</wp:posOffset>
                  </wp:positionH>
                  <wp:positionV relativeFrom="margin">
                    <wp:posOffset>532765</wp:posOffset>
                  </wp:positionV>
                  <wp:extent cx="1427480" cy="626745"/>
                  <wp:effectExtent l="0" t="0" r="0" b="0"/>
                  <wp:wrapSquare wrapText="bothSides"/>
                  <wp:docPr id="192" name="Immagin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2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47439903" wp14:editId="0751E587">
                  <wp:simplePos x="0" y="0"/>
                  <wp:positionH relativeFrom="margin">
                    <wp:posOffset>2602230</wp:posOffset>
                  </wp:positionH>
                  <wp:positionV relativeFrom="margin">
                    <wp:posOffset>-52705</wp:posOffset>
                  </wp:positionV>
                  <wp:extent cx="1275715" cy="554990"/>
                  <wp:effectExtent l="0" t="0" r="0" b="0"/>
                  <wp:wrapSquare wrapText="bothSides"/>
                  <wp:docPr id="189" name="Immagin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6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15" cy="55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1A368BC3" wp14:editId="399C81CB">
                  <wp:simplePos x="0" y="0"/>
                  <wp:positionH relativeFrom="margin">
                    <wp:posOffset>1354455</wp:posOffset>
                  </wp:positionH>
                  <wp:positionV relativeFrom="margin">
                    <wp:posOffset>-5080</wp:posOffset>
                  </wp:positionV>
                  <wp:extent cx="1257300" cy="554990"/>
                  <wp:effectExtent l="0" t="0" r="0" b="0"/>
                  <wp:wrapSquare wrapText="bothSides"/>
                  <wp:docPr id="188" name="Immagin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5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F421348" wp14:editId="64EA7F9B">
                  <wp:simplePos x="0" y="0"/>
                  <wp:positionH relativeFrom="margin">
                    <wp:posOffset>-51435</wp:posOffset>
                  </wp:positionH>
                  <wp:positionV relativeFrom="margin">
                    <wp:posOffset>-3810</wp:posOffset>
                  </wp:positionV>
                  <wp:extent cx="1427480" cy="611505"/>
                  <wp:effectExtent l="0" t="0" r="0" b="0"/>
                  <wp:wrapSquare wrapText="bothSides"/>
                  <wp:docPr id="187" name="Immagin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4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559B8" w:rsidRPr="006649D3" w:rsidTr="005C46B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B8" w:rsidRDefault="00D559B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59B8" w:rsidRDefault="00D559B8" w:rsidP="005C46B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Respiratore  (FFA1P2)</w:t>
            </w:r>
          </w:p>
          <w:p w:rsidR="00D559B8" w:rsidRDefault="00D559B8" w:rsidP="005C46B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Schermo facciale per saldatori </w:t>
            </w:r>
          </w:p>
          <w:p w:rsidR="00D559B8" w:rsidRDefault="00D559B8" w:rsidP="005C46B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Scerpe antinfortunistiche </w:t>
            </w:r>
          </w:p>
          <w:p w:rsidR="00D559B8" w:rsidRDefault="00D559B8" w:rsidP="005C46B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Grembiule per saldatura </w:t>
            </w:r>
          </w:p>
          <w:p w:rsidR="00D559B8" w:rsidRDefault="00D559B8" w:rsidP="005C46B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</w:t>
            </w:r>
          </w:p>
          <w:p w:rsidR="00D559B8" w:rsidRDefault="00D559B8" w:rsidP="005C46B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anticalore </w:t>
            </w:r>
          </w:p>
          <w:p w:rsidR="00D559B8" w:rsidRDefault="00D559B8" w:rsidP="005C46B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Berretto ignifugo </w:t>
            </w:r>
          </w:p>
          <w:p w:rsidR="00D559B8" w:rsidRPr="006649D3" w:rsidRDefault="00D559B8" w:rsidP="005C46B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Ghette in cuoio </w:t>
            </w:r>
            <w:r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</w:tc>
      </w:tr>
      <w:bookmarkEnd w:id="1"/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C03AB"/>
    <w:multiLevelType w:val="hybridMultilevel"/>
    <w:tmpl w:val="D6CCF0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00EE3"/>
    <w:multiLevelType w:val="hybridMultilevel"/>
    <w:tmpl w:val="AE1C0644"/>
    <w:lvl w:ilvl="0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CCE1114"/>
    <w:multiLevelType w:val="hybridMultilevel"/>
    <w:tmpl w:val="B172FC56"/>
    <w:lvl w:ilvl="0" w:tplc="0410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D1667BD"/>
    <w:multiLevelType w:val="hybridMultilevel"/>
    <w:tmpl w:val="252ECAAA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33288C"/>
    <w:multiLevelType w:val="hybridMultilevel"/>
    <w:tmpl w:val="666CCF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B8"/>
    <w:rsid w:val="00D559B8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336B0"/>
  <w15:chartTrackingRefBased/>
  <w15:docId w15:val="{5F6E9311-0635-4A8C-BE57-3B54B4DC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559B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559B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559B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D559B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0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2019-06-19T08:58:00Z</dcterms:created>
  <dcterms:modified xsi:type="dcterms:W3CDTF">2019-06-19T09:07:00Z</dcterms:modified>
</cp:coreProperties>
</file>