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45179A" w:rsidTr="0045179A">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45179A" w:rsidRDefault="0045179A">
            <w:pPr>
              <w:pStyle w:val="Titolo3"/>
              <w:spacing w:line="256" w:lineRule="auto"/>
              <w:rPr>
                <w:lang w:eastAsia="en-US"/>
              </w:rPr>
            </w:pPr>
            <w:bookmarkStart w:id="0" w:name="_Toc11315304"/>
            <w:bookmarkStart w:id="1" w:name="_GoBack" w:colFirst="0" w:colLast="0"/>
            <w:r>
              <w:rPr>
                <w:lang w:eastAsia="en-US"/>
              </w:rPr>
              <w:t xml:space="preserve">ATTREZZATURE: </w:t>
            </w:r>
            <w:bookmarkEnd w:id="0"/>
            <w:r>
              <w:rPr>
                <w:lang w:eastAsia="en-US"/>
              </w:rPr>
              <w:t>ARGANO</w:t>
            </w:r>
          </w:p>
        </w:tc>
      </w:tr>
      <w:tr w:rsidR="0045179A" w:rsidTr="0045179A">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45179A" w:rsidRDefault="0045179A">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45179A" w:rsidRDefault="0045179A">
            <w:pPr>
              <w:spacing w:line="256" w:lineRule="auto"/>
              <w:rPr>
                <w:b/>
                <w:sz w:val="20"/>
                <w:szCs w:val="20"/>
                <w:lang w:eastAsia="en-US"/>
              </w:rPr>
            </w:pPr>
            <w:r>
              <w:rPr>
                <w:b/>
                <w:sz w:val="20"/>
                <w:szCs w:val="20"/>
                <w:lang w:eastAsia="en-US"/>
              </w:rPr>
              <w:t>Utilizzo improprio dell’attrezzatura</w:t>
            </w:r>
          </w:p>
          <w:p w:rsidR="0045179A" w:rsidRDefault="0045179A">
            <w:pPr>
              <w:spacing w:line="256" w:lineRule="auto"/>
              <w:rPr>
                <w:b/>
                <w:sz w:val="20"/>
                <w:szCs w:val="20"/>
                <w:lang w:eastAsia="en-US"/>
              </w:rPr>
            </w:pPr>
            <w:r>
              <w:rPr>
                <w:b/>
                <w:sz w:val="20"/>
                <w:szCs w:val="20"/>
                <w:lang w:eastAsia="en-US"/>
              </w:rPr>
              <w:t>Manutenzione ordinaria dell’attrezzattura</w:t>
            </w:r>
          </w:p>
          <w:p w:rsidR="0045179A" w:rsidRDefault="0045179A">
            <w:pPr>
              <w:spacing w:line="256" w:lineRule="auto"/>
              <w:rPr>
                <w:b/>
                <w:sz w:val="20"/>
                <w:szCs w:val="20"/>
                <w:lang w:eastAsia="en-US"/>
              </w:rPr>
            </w:pPr>
            <w:r>
              <w:rPr>
                <w:b/>
                <w:sz w:val="20"/>
                <w:szCs w:val="20"/>
                <w:lang w:eastAsia="en-US"/>
              </w:rPr>
              <w:t>Rischio per incompetenza dell’operatore</w:t>
            </w:r>
          </w:p>
        </w:tc>
      </w:tr>
      <w:tr w:rsidR="0045179A" w:rsidTr="0045179A">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45179A" w:rsidRDefault="0045179A">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45179A" w:rsidRDefault="0045179A">
            <w:pPr>
              <w:spacing w:line="256" w:lineRule="auto"/>
              <w:rPr>
                <w:bCs/>
                <w:iCs/>
                <w:sz w:val="20"/>
                <w:szCs w:val="18"/>
                <w:lang w:eastAsia="en-US"/>
              </w:rPr>
            </w:pPr>
            <w:r>
              <w:rPr>
                <w:bCs/>
                <w:iCs/>
                <w:sz w:val="20"/>
                <w:szCs w:val="18"/>
                <w:lang w:eastAsia="en-US"/>
              </w:rPr>
              <w:t>Lavoratori</w:t>
            </w:r>
          </w:p>
        </w:tc>
      </w:tr>
      <w:tr w:rsidR="0045179A" w:rsidTr="0045179A">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45179A" w:rsidRDefault="0045179A">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45179A" w:rsidRDefault="0045179A">
            <w:pPr>
              <w:spacing w:line="256" w:lineRule="auto"/>
              <w:rPr>
                <w:caps/>
                <w:sz w:val="20"/>
                <w:szCs w:val="20"/>
                <w:lang w:eastAsia="en-US"/>
              </w:rPr>
            </w:pPr>
            <w:r>
              <w:rPr>
                <w:caps/>
                <w:sz w:val="20"/>
                <w:szCs w:val="20"/>
                <w:lang w:eastAsia="en-US"/>
              </w:rPr>
              <w:t xml:space="preserve">ROVESCIAMENTO O CADUTA DELLA MACCHINA </w:t>
            </w:r>
          </w:p>
          <w:p w:rsidR="0045179A" w:rsidRDefault="0045179A">
            <w:pPr>
              <w:spacing w:line="256" w:lineRule="auto"/>
              <w:rPr>
                <w:sz w:val="20"/>
                <w:szCs w:val="18"/>
                <w:lang w:eastAsia="en-US"/>
              </w:rPr>
            </w:pPr>
            <w:r>
              <w:rPr>
                <w:sz w:val="20"/>
                <w:szCs w:val="18"/>
                <w:lang w:eastAsia="en-US"/>
              </w:rPr>
              <w:t xml:space="preserve">CADUTA DALL’ALTO </w:t>
            </w:r>
          </w:p>
          <w:p w:rsidR="0045179A" w:rsidRDefault="0045179A">
            <w:pPr>
              <w:spacing w:line="256" w:lineRule="auto"/>
              <w:rPr>
                <w:sz w:val="20"/>
                <w:szCs w:val="18"/>
                <w:lang w:eastAsia="en-US"/>
              </w:rPr>
            </w:pPr>
            <w:r>
              <w:rPr>
                <w:sz w:val="20"/>
                <w:szCs w:val="18"/>
                <w:lang w:eastAsia="en-US"/>
              </w:rPr>
              <w:t>ELETTROCUZIONE</w:t>
            </w:r>
          </w:p>
          <w:p w:rsidR="0045179A" w:rsidRDefault="0045179A">
            <w:pPr>
              <w:spacing w:line="256" w:lineRule="auto"/>
              <w:rPr>
                <w:sz w:val="20"/>
                <w:szCs w:val="18"/>
                <w:lang w:eastAsia="en-US"/>
              </w:rPr>
            </w:pPr>
            <w:r>
              <w:rPr>
                <w:sz w:val="20"/>
                <w:szCs w:val="18"/>
                <w:lang w:eastAsia="en-US"/>
              </w:rPr>
              <w:t xml:space="preserve">CADUTA DI MATERIALE DALL’ALTO </w:t>
            </w:r>
          </w:p>
        </w:tc>
      </w:tr>
      <w:tr w:rsidR="0045179A" w:rsidTr="0045179A">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45179A" w:rsidRDefault="0045179A">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L'attrezzatura deve possedere, a proposito delle necessità della sicurezza del lavoro, i necessari requisiti di resistenza e di idoneità ed essere mantenuta in buono stato di conservazione e di efficienza (Art. 71 del D.lgs. n.81/08 </w:t>
            </w:r>
            <w:r w:rsidRPr="0045179A">
              <w:rPr>
                <w:bCs/>
                <w:color w:val="000000"/>
                <w:sz w:val="20"/>
                <w:szCs w:val="20"/>
              </w:rPr>
              <w:t xml:space="preserve">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 xml:space="preserve">) </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L'elevatore deve avere la marcatura CE (Art. 70 del D.lgs. n.81/08 </w:t>
            </w:r>
            <w:r w:rsidRPr="0045179A">
              <w:rPr>
                <w:bCs/>
                <w:color w:val="000000"/>
                <w:sz w:val="20"/>
                <w:szCs w:val="20"/>
              </w:rPr>
              <w:t xml:space="preserve">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t>Se di portata superiore ai 200 kg, l’argano deve essere corredato da libretto delle verifiche per apparecchi di sollevamento (a cura dell'ISPESL) ed alle verifiche periodiche sulla sua efficienza (Aziende Sanitarie Locali-ARPA)</w:t>
            </w:r>
          </w:p>
          <w:p w:rsidR="0045179A" w:rsidRPr="0045179A" w:rsidRDefault="0045179A" w:rsidP="0045179A">
            <w:pPr>
              <w:numPr>
                <w:ilvl w:val="0"/>
                <w:numId w:val="1"/>
              </w:numPr>
              <w:suppressAutoHyphens w:val="0"/>
              <w:autoSpaceDN/>
              <w:jc w:val="both"/>
              <w:rPr>
                <w:sz w:val="20"/>
                <w:szCs w:val="20"/>
              </w:rPr>
            </w:pPr>
            <w:proofErr w:type="gramStart"/>
            <w:r w:rsidRPr="0045179A">
              <w:rPr>
                <w:sz w:val="20"/>
                <w:szCs w:val="20"/>
              </w:rPr>
              <w:t>E’</w:t>
            </w:r>
            <w:proofErr w:type="gramEnd"/>
            <w:r w:rsidRPr="0045179A">
              <w:rPr>
                <w:sz w:val="20"/>
                <w:szCs w:val="20"/>
              </w:rPr>
              <w:t xml:space="preserve"> necessario richiedere inizialmente il collaudo all'ISPESL e in seguito comunicarne il piazzamento alla ASL-ARPA locale</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L’argano è soggetto alla verifica trimestrale dello stato di conservazione delle funi, tale verifica va fatta a cura del proprietario e l'esito va annotato su un'apposita pagina del libretto (fino al rilascio del libretto tali verifiche vanno eseguite ed annotate cronologicamente, le annotazioni verranno inserire poi nel libretto non appena disponibile) </w:t>
            </w:r>
            <w:proofErr w:type="gramStart"/>
            <w:r w:rsidRPr="0045179A">
              <w:rPr>
                <w:sz w:val="20"/>
                <w:szCs w:val="20"/>
              </w:rPr>
              <w:t>( Allegato</w:t>
            </w:r>
            <w:proofErr w:type="gramEnd"/>
            <w:r w:rsidRPr="0045179A">
              <w:rPr>
                <w:sz w:val="20"/>
                <w:szCs w:val="20"/>
              </w:rPr>
              <w:t xml:space="preserve"> VI  punto 3.1.2 del D.lgs. n.81/08 </w:t>
            </w:r>
            <w:r w:rsidRPr="0045179A">
              <w:rPr>
                <w:bCs/>
                <w:color w:val="000000"/>
                <w:sz w:val="20"/>
                <w:szCs w:val="20"/>
              </w:rPr>
              <w:t xml:space="preserve">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t>L'uso dell'elevatore deve essere oggetto di adeguata formazione agli addetti</w:t>
            </w:r>
          </w:p>
          <w:p w:rsidR="0045179A" w:rsidRPr="0045179A" w:rsidRDefault="0045179A" w:rsidP="0045179A">
            <w:pPr>
              <w:numPr>
                <w:ilvl w:val="0"/>
                <w:numId w:val="1"/>
              </w:numPr>
              <w:suppressAutoHyphens w:val="0"/>
              <w:autoSpaceDN/>
              <w:jc w:val="both"/>
              <w:rPr>
                <w:sz w:val="20"/>
                <w:szCs w:val="20"/>
              </w:rPr>
            </w:pPr>
            <w:r w:rsidRPr="0045179A">
              <w:rPr>
                <w:sz w:val="20"/>
                <w:szCs w:val="20"/>
              </w:rPr>
              <w:t>La portata deve essere chiaramente indicata sul paranco, le funzioni dei comandi devono essere richiamate sulla pulsantiera (Allegato V parte II punto 3.1.3 del D.lgs. n.81/08</w:t>
            </w:r>
            <w:r w:rsidRPr="0045179A">
              <w:rPr>
                <w:bCs/>
                <w:color w:val="000000"/>
                <w:sz w:val="20"/>
                <w:szCs w:val="20"/>
              </w:rPr>
              <w:t xml:space="preserve"> 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Se non è possibile montare parapetti adeguati l'addetto deve utilizzare dispositivi anticaduta (Allegato VI punto 3.2.8 del D.lgs. n.81/08 </w:t>
            </w:r>
            <w:r w:rsidRPr="0045179A">
              <w:rPr>
                <w:bCs/>
                <w:color w:val="000000"/>
                <w:sz w:val="20"/>
                <w:szCs w:val="20"/>
              </w:rPr>
              <w:t xml:space="preserve">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La macchina deve essere installata come previsto dal costruttore su una superficie sufficientemente ampia e di adeguata resistenza (Allegato VI punto 3.1.3 del D.lgs. n.81/08 </w:t>
            </w:r>
            <w:r w:rsidRPr="0045179A">
              <w:rPr>
                <w:bCs/>
                <w:color w:val="000000"/>
                <w:sz w:val="20"/>
                <w:szCs w:val="20"/>
              </w:rPr>
              <w:t xml:space="preserve">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t>Per gli elevatori a cavalletto possono essere previsti cassoni con zavorra da fissare al cavalletto posteriore (non si devono usare liquidi per il rischio che si forino i contenitori e venga a mancare la zavorra, né improvvisati accumuli di materiale sfuso) oppure sistemi di collegamento a strutture fisse (per esempio collegamenti passanti sotto alla soletta su cui è installato, puntoni contro la soletta superiore, ecc.)</w:t>
            </w:r>
          </w:p>
          <w:p w:rsidR="0045179A" w:rsidRPr="0045179A" w:rsidRDefault="0045179A" w:rsidP="0045179A">
            <w:pPr>
              <w:numPr>
                <w:ilvl w:val="0"/>
                <w:numId w:val="1"/>
              </w:numPr>
              <w:suppressAutoHyphens w:val="0"/>
              <w:autoSpaceDN/>
              <w:jc w:val="both"/>
              <w:rPr>
                <w:sz w:val="20"/>
                <w:szCs w:val="20"/>
              </w:rPr>
            </w:pPr>
            <w:r w:rsidRPr="0045179A">
              <w:rPr>
                <w:sz w:val="20"/>
                <w:szCs w:val="20"/>
              </w:rPr>
              <w:t>Per elevatori a bandiera si utilizzano generalmente elementi adeguatamente ancorati a fabbricati (puntelli rinforzati da tiranti, ecc.) o strutture idonee preventivamente predisposte</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Nel caso che si realizzino sistemi di ancoraggio diversi da quelli previsti dal costruttore, gli stessi devono essere progettati e calcolati da un tecnico abilitato. Sia i calcoli che la documentazione fornita dal costruttore </w:t>
            </w:r>
            <w:proofErr w:type="gramStart"/>
            <w:r w:rsidRPr="0045179A">
              <w:rPr>
                <w:sz w:val="20"/>
                <w:szCs w:val="20"/>
              </w:rPr>
              <w:t>va conservata</w:t>
            </w:r>
            <w:proofErr w:type="gramEnd"/>
            <w:r w:rsidRPr="0045179A">
              <w:rPr>
                <w:sz w:val="20"/>
                <w:szCs w:val="20"/>
              </w:rPr>
              <w:t xml:space="preserve"> in cantiere</w:t>
            </w:r>
          </w:p>
          <w:p w:rsidR="0045179A" w:rsidRPr="0045179A" w:rsidRDefault="0045179A" w:rsidP="0045179A">
            <w:pPr>
              <w:numPr>
                <w:ilvl w:val="0"/>
                <w:numId w:val="1"/>
              </w:numPr>
              <w:suppressAutoHyphens w:val="0"/>
              <w:autoSpaceDN/>
              <w:jc w:val="both"/>
              <w:rPr>
                <w:sz w:val="20"/>
                <w:szCs w:val="20"/>
              </w:rPr>
            </w:pPr>
            <w:r w:rsidRPr="0045179A">
              <w:rPr>
                <w:sz w:val="20"/>
                <w:szCs w:val="20"/>
              </w:rPr>
              <w:t>Controllare periodicamente l'efficienza degli ancoraggi</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Le aperture e gli spazi prospicienti il vuoto devono essere dotati di parapetto normale (Allegato VI </w:t>
            </w:r>
            <w:proofErr w:type="gramStart"/>
            <w:r w:rsidRPr="0045179A">
              <w:rPr>
                <w:sz w:val="20"/>
                <w:szCs w:val="20"/>
              </w:rPr>
              <w:t>punto  3.2.8</w:t>
            </w:r>
            <w:proofErr w:type="gramEnd"/>
            <w:r w:rsidRPr="0045179A">
              <w:rPr>
                <w:sz w:val="20"/>
                <w:szCs w:val="20"/>
              </w:rPr>
              <w:t xml:space="preserve"> del D.lgs. n.81/08)</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Nella zona ove viene movimentato il carico, può essere lasciato nel corrente superiore un varco sufficiente al passaggio della fune che sostiene il carico (abbassando gli elementi metallici ribaltabili fissati al cavalletto anteriore); in questo caso il carico può passare fra tali elementi mobili e la tavola fermapiede (alta 30 cm almeno). Analoga soluzione può essere adottata (per esempio utilizzando </w:t>
            </w:r>
            <w:r w:rsidRPr="0045179A">
              <w:rPr>
                <w:sz w:val="20"/>
                <w:szCs w:val="20"/>
              </w:rPr>
              <w:lastRenderedPageBreak/>
              <w:t>stocchi metallici opportunamente collegati a strutture fisse) per gli elevatori a bandiera</w:t>
            </w:r>
          </w:p>
          <w:p w:rsidR="0045179A" w:rsidRPr="0045179A" w:rsidRDefault="0045179A" w:rsidP="0045179A">
            <w:pPr>
              <w:numPr>
                <w:ilvl w:val="0"/>
                <w:numId w:val="1"/>
              </w:numPr>
              <w:suppressAutoHyphens w:val="0"/>
              <w:autoSpaceDN/>
              <w:jc w:val="both"/>
              <w:rPr>
                <w:sz w:val="20"/>
                <w:szCs w:val="20"/>
              </w:rPr>
            </w:pPr>
            <w:r w:rsidRPr="0045179A">
              <w:rPr>
                <w:sz w:val="20"/>
                <w:szCs w:val="20"/>
              </w:rPr>
              <w:t>Se il carico da movimentare è ingombrante è possibile ampliare il varco per il suo passaggio togliendo parti di parapetto, gli operatori dovranno però essere efficacemente protetti contro il rischio di caduta mediante imbracatura di sicurezza e dispositivi anticaduta. I parapetti dovranno ovviamente essere rimontati non appena terminata l'operazione</w:t>
            </w:r>
          </w:p>
          <w:p w:rsidR="0045179A" w:rsidRPr="0045179A" w:rsidRDefault="0045179A" w:rsidP="0045179A">
            <w:pPr>
              <w:numPr>
                <w:ilvl w:val="0"/>
                <w:numId w:val="1"/>
              </w:numPr>
              <w:suppressAutoHyphens w:val="0"/>
              <w:autoSpaceDN/>
              <w:jc w:val="both"/>
              <w:rPr>
                <w:sz w:val="20"/>
                <w:szCs w:val="20"/>
              </w:rPr>
            </w:pPr>
            <w:r w:rsidRPr="0045179A">
              <w:rPr>
                <w:sz w:val="20"/>
                <w:szCs w:val="20"/>
              </w:rPr>
              <w:t>L'imbracatura dei carichi deve essere fatta in modo idoneo per evitare la caduta o lo spostamento del carico durante il sollevamento</w:t>
            </w:r>
          </w:p>
          <w:p w:rsidR="0045179A" w:rsidRPr="0045179A" w:rsidRDefault="0045179A" w:rsidP="0045179A">
            <w:pPr>
              <w:numPr>
                <w:ilvl w:val="0"/>
                <w:numId w:val="1"/>
              </w:numPr>
              <w:suppressAutoHyphens w:val="0"/>
              <w:autoSpaceDN/>
              <w:jc w:val="both"/>
              <w:rPr>
                <w:sz w:val="20"/>
                <w:szCs w:val="20"/>
              </w:rPr>
            </w:pPr>
            <w:r w:rsidRPr="0045179A">
              <w:rPr>
                <w:sz w:val="20"/>
                <w:szCs w:val="20"/>
              </w:rPr>
              <w:t>Non utilizzare mezzi di fortuna per imbracare e sollevare i carichi (corde di recupero, tondini piegati a gancio, tubi o barre di ferro, filo di ferro, reggette di plastica, ecc.)</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Usare solo materiale certificato CE (ganci con chiusura, corde metalliche o in tessuto, fasce in tessuto, catene, ecc.) (Art. 70 del D.lgs. n.81/08 </w:t>
            </w:r>
            <w:r w:rsidRPr="0045179A">
              <w:rPr>
                <w:bCs/>
                <w:color w:val="000000"/>
                <w:sz w:val="20"/>
                <w:szCs w:val="20"/>
              </w:rPr>
              <w:t xml:space="preserve">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t>La marcatura CE unitamente alla portata deve essere indicata (con piastrine, anelli, ecc.) anche sul materiale stesso</w:t>
            </w:r>
          </w:p>
          <w:p w:rsidR="0045179A" w:rsidRPr="0045179A" w:rsidRDefault="0045179A" w:rsidP="0045179A">
            <w:pPr>
              <w:numPr>
                <w:ilvl w:val="0"/>
                <w:numId w:val="1"/>
              </w:numPr>
              <w:suppressAutoHyphens w:val="0"/>
              <w:autoSpaceDN/>
              <w:jc w:val="both"/>
              <w:rPr>
                <w:sz w:val="20"/>
                <w:szCs w:val="20"/>
              </w:rPr>
            </w:pPr>
            <w:proofErr w:type="gramStart"/>
            <w:r w:rsidRPr="0045179A">
              <w:rPr>
                <w:sz w:val="20"/>
                <w:szCs w:val="20"/>
              </w:rPr>
              <w:t>E’</w:t>
            </w:r>
            <w:proofErr w:type="gramEnd"/>
            <w:r w:rsidRPr="0045179A">
              <w:rPr>
                <w:sz w:val="20"/>
                <w:szCs w:val="20"/>
              </w:rPr>
              <w:t xml:space="preserve"> da tenere presente che ampi angoli di apertura delle funi al gancio fanno diminuire significativamente la portata generale dell'accessorio usato per l'imbracatura riducendone pericolosamente l'efficacia</w:t>
            </w:r>
          </w:p>
          <w:p w:rsidR="0045179A" w:rsidRPr="0045179A" w:rsidRDefault="0045179A" w:rsidP="0045179A">
            <w:pPr>
              <w:numPr>
                <w:ilvl w:val="0"/>
                <w:numId w:val="1"/>
              </w:numPr>
              <w:suppressAutoHyphens w:val="0"/>
              <w:autoSpaceDN/>
              <w:jc w:val="both"/>
              <w:rPr>
                <w:sz w:val="20"/>
                <w:szCs w:val="20"/>
              </w:rPr>
            </w:pPr>
            <w:r w:rsidRPr="0045179A">
              <w:rPr>
                <w:sz w:val="20"/>
                <w:szCs w:val="20"/>
              </w:rPr>
              <w:t>Esporre una tabella indicante tale rischio e le variazioni di portata in funzione delle condizioni di utilizzazione delle brache di sollevamento chiarendone il significato agli addetti al sollevamento ed all'imbracatura dei carichi, potrebbe evitare gravi incidenti</w:t>
            </w:r>
          </w:p>
          <w:p w:rsidR="0045179A" w:rsidRPr="0045179A" w:rsidRDefault="0045179A" w:rsidP="0045179A">
            <w:pPr>
              <w:numPr>
                <w:ilvl w:val="0"/>
                <w:numId w:val="1"/>
              </w:numPr>
              <w:suppressAutoHyphens w:val="0"/>
              <w:autoSpaceDN/>
              <w:jc w:val="both"/>
              <w:rPr>
                <w:sz w:val="20"/>
                <w:szCs w:val="20"/>
              </w:rPr>
            </w:pPr>
            <w:r w:rsidRPr="0045179A">
              <w:rPr>
                <w:sz w:val="20"/>
                <w:szCs w:val="20"/>
              </w:rPr>
              <w:t>Particolare attenzione va prestata al sollevamento di materiale che potrebbe scivolare durante la movimentazione o elementi che potrebbero scivolare o fuoriuscire dall'insieme per effetto di oscillazioni, urti, ecc. (fasci di tubi lisci, sacchi che si rompono, ecc.)</w:t>
            </w:r>
          </w:p>
          <w:p w:rsidR="0045179A" w:rsidRPr="0045179A" w:rsidRDefault="0045179A" w:rsidP="0045179A">
            <w:pPr>
              <w:numPr>
                <w:ilvl w:val="0"/>
                <w:numId w:val="1"/>
              </w:numPr>
              <w:suppressAutoHyphens w:val="0"/>
              <w:autoSpaceDN/>
              <w:jc w:val="both"/>
              <w:rPr>
                <w:sz w:val="20"/>
                <w:szCs w:val="20"/>
              </w:rPr>
            </w:pPr>
            <w:r w:rsidRPr="0045179A">
              <w:rPr>
                <w:sz w:val="20"/>
                <w:szCs w:val="20"/>
              </w:rPr>
              <w:t>Il materiale sfuso (mattoni, pietrame, giunti per ponteggi, ecc.) va sollevato entro contenitori idonei (benne, cassoni, cestelli)</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L'addetto alla pulsantiera deve sempre porsi in posizione adeguata </w:t>
            </w:r>
            <w:proofErr w:type="gramStart"/>
            <w:r w:rsidRPr="0045179A">
              <w:rPr>
                <w:sz w:val="20"/>
                <w:szCs w:val="20"/>
              </w:rPr>
              <w:t>per</w:t>
            </w:r>
            <w:proofErr w:type="gramEnd"/>
            <w:r w:rsidRPr="0045179A">
              <w:rPr>
                <w:sz w:val="20"/>
                <w:szCs w:val="20"/>
              </w:rPr>
              <w:t xml:space="preserve"> poter osservare la zona di lavoro e non iniziare ad operare se vi sono persone sotto il carico. Il collega a terra non sosterà nella zona di carico e sorveglierà che nessuno vi acceda (Allegato VI </w:t>
            </w:r>
            <w:proofErr w:type="gramStart"/>
            <w:r w:rsidRPr="0045179A">
              <w:rPr>
                <w:sz w:val="20"/>
                <w:szCs w:val="20"/>
              </w:rPr>
              <w:t>punto  3.1.5</w:t>
            </w:r>
            <w:proofErr w:type="gramEnd"/>
            <w:r w:rsidRPr="0045179A">
              <w:rPr>
                <w:sz w:val="20"/>
                <w:szCs w:val="20"/>
              </w:rPr>
              <w:t xml:space="preserve"> del D.lgs. n.81/08 </w:t>
            </w:r>
            <w:r w:rsidRPr="0045179A">
              <w:rPr>
                <w:bCs/>
                <w:color w:val="000000"/>
                <w:sz w:val="20"/>
                <w:szCs w:val="20"/>
              </w:rPr>
              <w:t xml:space="preserve">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t>Il paranco elettrico deve essere dotato di dispositivo automatico di fine corsa superiore (per evitare l'urto del gancio contro la struttura dell'elevatore) ed inferiore (a fine corsa devono restare ancora almeno due spire di fune avvolte sul tamburo)</w:t>
            </w:r>
          </w:p>
          <w:p w:rsidR="0045179A" w:rsidRPr="0045179A" w:rsidRDefault="0045179A" w:rsidP="0045179A">
            <w:pPr>
              <w:numPr>
                <w:ilvl w:val="0"/>
                <w:numId w:val="1"/>
              </w:numPr>
              <w:suppressAutoHyphens w:val="0"/>
              <w:autoSpaceDN/>
              <w:jc w:val="both"/>
              <w:rPr>
                <w:sz w:val="20"/>
                <w:szCs w:val="20"/>
              </w:rPr>
            </w:pPr>
            <w:r w:rsidRPr="0045179A">
              <w:rPr>
                <w:sz w:val="20"/>
                <w:szCs w:val="20"/>
              </w:rPr>
              <w:t>Gli elevatori a cavalletto, alle estremità del binario di corsa del paranco devono avere appositi arresti ammortizzati</w:t>
            </w:r>
          </w:p>
          <w:p w:rsidR="0045179A" w:rsidRPr="0045179A" w:rsidRDefault="0045179A" w:rsidP="0045179A">
            <w:pPr>
              <w:numPr>
                <w:ilvl w:val="0"/>
                <w:numId w:val="1"/>
              </w:numPr>
              <w:suppressAutoHyphens w:val="0"/>
              <w:autoSpaceDN/>
              <w:jc w:val="both"/>
              <w:rPr>
                <w:sz w:val="20"/>
                <w:szCs w:val="20"/>
              </w:rPr>
            </w:pPr>
            <w:proofErr w:type="gramStart"/>
            <w:r w:rsidRPr="0045179A">
              <w:rPr>
                <w:sz w:val="20"/>
                <w:szCs w:val="20"/>
              </w:rPr>
              <w:t>E’</w:t>
            </w:r>
            <w:proofErr w:type="gramEnd"/>
            <w:r w:rsidRPr="0045179A">
              <w:rPr>
                <w:sz w:val="20"/>
                <w:szCs w:val="20"/>
              </w:rPr>
              <w:t xml:space="preserve"> opportuno controllare periodicamente l'efficacia di tali dispositivi come anche dei sistemi di ancoraggio, zavorre, integrità della fune, efficacia degli ancoraggi della fune, del gancio e del freno</w:t>
            </w:r>
          </w:p>
          <w:p w:rsidR="0045179A" w:rsidRPr="0045179A" w:rsidRDefault="0045179A" w:rsidP="0045179A">
            <w:pPr>
              <w:numPr>
                <w:ilvl w:val="0"/>
                <w:numId w:val="1"/>
              </w:numPr>
              <w:suppressAutoHyphens w:val="0"/>
              <w:autoSpaceDN/>
              <w:jc w:val="both"/>
              <w:rPr>
                <w:sz w:val="20"/>
                <w:szCs w:val="20"/>
              </w:rPr>
            </w:pPr>
            <w:r w:rsidRPr="0045179A">
              <w:rPr>
                <w:sz w:val="20"/>
                <w:szCs w:val="20"/>
              </w:rPr>
              <w:t>La macchina deve essere collegata a terra mediante il cavo di alimentazione che deve comprendere il conduttore giallo-verde</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A protezione della linea di alimentazione della macchina, contro i contatti indiretti, deve essere installato un interruttore magnetotermico-differenziale con soglia di massima di intervento non superiore a 30 </w:t>
            </w:r>
            <w:proofErr w:type="spellStart"/>
            <w:r w:rsidRPr="0045179A">
              <w:rPr>
                <w:sz w:val="20"/>
                <w:szCs w:val="20"/>
              </w:rPr>
              <w:t>mA</w:t>
            </w:r>
            <w:proofErr w:type="spellEnd"/>
            <w:r w:rsidRPr="0045179A">
              <w:rPr>
                <w:sz w:val="20"/>
                <w:szCs w:val="20"/>
              </w:rPr>
              <w:t xml:space="preserve"> (tipo salvavita)</w:t>
            </w:r>
          </w:p>
          <w:p w:rsidR="0045179A" w:rsidRPr="0045179A" w:rsidRDefault="0045179A" w:rsidP="0045179A">
            <w:pPr>
              <w:numPr>
                <w:ilvl w:val="0"/>
                <w:numId w:val="1"/>
              </w:numPr>
              <w:suppressAutoHyphens w:val="0"/>
              <w:autoSpaceDN/>
              <w:jc w:val="both"/>
              <w:rPr>
                <w:sz w:val="20"/>
                <w:szCs w:val="20"/>
              </w:rPr>
            </w:pPr>
            <w:r w:rsidRPr="0045179A">
              <w:rPr>
                <w:sz w:val="20"/>
                <w:szCs w:val="20"/>
              </w:rPr>
              <w:t>I componenti elettrici esterni (motore, interruttore, scatole di derivazione, prese a spina ecc.) per la presenza di polvere ed umidità devono avere un grado di protezione adeguato (almeno IP 44)</w:t>
            </w:r>
          </w:p>
          <w:p w:rsidR="0045179A" w:rsidRPr="0045179A" w:rsidRDefault="0045179A" w:rsidP="0045179A">
            <w:pPr>
              <w:numPr>
                <w:ilvl w:val="0"/>
                <w:numId w:val="1"/>
              </w:numPr>
              <w:suppressAutoHyphens w:val="0"/>
              <w:autoSpaceDN/>
              <w:jc w:val="both"/>
              <w:rPr>
                <w:sz w:val="20"/>
                <w:szCs w:val="20"/>
              </w:rPr>
            </w:pPr>
            <w:r w:rsidRPr="0045179A">
              <w:rPr>
                <w:sz w:val="20"/>
                <w:szCs w:val="20"/>
              </w:rPr>
              <w:t>Usare cavi flessibili resistenti all'acqua ed all'abrasione</w:t>
            </w:r>
          </w:p>
          <w:p w:rsidR="0045179A" w:rsidRPr="0045179A" w:rsidRDefault="0045179A" w:rsidP="0045179A">
            <w:pPr>
              <w:numPr>
                <w:ilvl w:val="0"/>
                <w:numId w:val="1"/>
              </w:numPr>
              <w:suppressAutoHyphens w:val="0"/>
              <w:autoSpaceDN/>
              <w:jc w:val="both"/>
              <w:rPr>
                <w:sz w:val="20"/>
                <w:szCs w:val="20"/>
              </w:rPr>
            </w:pPr>
            <w:r w:rsidRPr="0045179A">
              <w:rPr>
                <w:sz w:val="20"/>
                <w:szCs w:val="20"/>
              </w:rPr>
              <w:t>I componenti elettrici non devono essere rotti o fessurati, i pressacavi devono essere idonei e ben posizionati</w:t>
            </w:r>
          </w:p>
          <w:p w:rsidR="0045179A" w:rsidRPr="0045179A" w:rsidRDefault="0045179A" w:rsidP="0045179A">
            <w:pPr>
              <w:numPr>
                <w:ilvl w:val="0"/>
                <w:numId w:val="1"/>
              </w:numPr>
              <w:suppressAutoHyphens w:val="0"/>
              <w:autoSpaceDN/>
              <w:jc w:val="both"/>
              <w:rPr>
                <w:sz w:val="20"/>
                <w:szCs w:val="20"/>
              </w:rPr>
            </w:pPr>
            <w:r w:rsidRPr="0045179A">
              <w:rPr>
                <w:sz w:val="20"/>
                <w:szCs w:val="20"/>
              </w:rPr>
              <w:t>Le prolunghe giuntate e nastrate o con prese a spina o adattatori di uso civile per la probabile presenza di acqua sono estremamente pericolose</w:t>
            </w:r>
          </w:p>
          <w:p w:rsidR="0045179A" w:rsidRPr="0045179A" w:rsidRDefault="0045179A" w:rsidP="0045179A">
            <w:pPr>
              <w:numPr>
                <w:ilvl w:val="0"/>
                <w:numId w:val="1"/>
              </w:numPr>
              <w:suppressAutoHyphens w:val="0"/>
              <w:autoSpaceDN/>
              <w:jc w:val="both"/>
              <w:rPr>
                <w:sz w:val="20"/>
                <w:szCs w:val="20"/>
              </w:rPr>
            </w:pPr>
            <w:r w:rsidRPr="0045179A">
              <w:rPr>
                <w:sz w:val="20"/>
                <w:szCs w:val="20"/>
              </w:rPr>
              <w:t xml:space="preserve">Non usare la pulsantiera per manovrare (tirare) il carrello o per ruotare la bandiera del paranco elettrico (Allegato V parte II punto 3.3.2 del D.lgs. n.81/08 </w:t>
            </w:r>
            <w:r w:rsidRPr="0045179A">
              <w:rPr>
                <w:bCs/>
                <w:color w:val="000000"/>
                <w:sz w:val="20"/>
                <w:szCs w:val="20"/>
              </w:rPr>
              <w:t xml:space="preserve">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lastRenderedPageBreak/>
              <w:t>Utilizzare sempre i dispositivi di protezione individuali previsti (Art. 75-78 del D.lgs. n.81/08</w:t>
            </w:r>
            <w:r w:rsidRPr="0045179A">
              <w:rPr>
                <w:bCs/>
                <w:color w:val="000000"/>
                <w:sz w:val="20"/>
                <w:szCs w:val="20"/>
              </w:rPr>
              <w:t xml:space="preserve"> 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p w:rsidR="0045179A" w:rsidRPr="0045179A" w:rsidRDefault="0045179A" w:rsidP="0045179A">
            <w:pPr>
              <w:numPr>
                <w:ilvl w:val="0"/>
                <w:numId w:val="1"/>
              </w:numPr>
              <w:suppressAutoHyphens w:val="0"/>
              <w:autoSpaceDN/>
              <w:jc w:val="both"/>
              <w:rPr>
                <w:sz w:val="20"/>
                <w:szCs w:val="20"/>
              </w:rPr>
            </w:pPr>
            <w:r w:rsidRPr="0045179A">
              <w:rPr>
                <w:sz w:val="20"/>
                <w:szCs w:val="20"/>
              </w:rPr>
              <w:t>Verificare l'uso costante dei DPI da parte di tutto il personale operante (Art. 77 del D.lgs. n.81/08</w:t>
            </w:r>
            <w:r w:rsidRPr="0045179A">
              <w:rPr>
                <w:bCs/>
                <w:color w:val="000000"/>
                <w:sz w:val="20"/>
                <w:szCs w:val="20"/>
              </w:rPr>
              <w:t xml:space="preserve"> come modificato dal </w:t>
            </w:r>
            <w:proofErr w:type="spellStart"/>
            <w:r w:rsidRPr="0045179A">
              <w:rPr>
                <w:bCs/>
                <w:color w:val="000000"/>
                <w:sz w:val="20"/>
                <w:szCs w:val="20"/>
              </w:rPr>
              <w:t>D.lgs</w:t>
            </w:r>
            <w:proofErr w:type="spellEnd"/>
            <w:r w:rsidRPr="0045179A">
              <w:rPr>
                <w:bCs/>
                <w:color w:val="000000"/>
                <w:sz w:val="20"/>
                <w:szCs w:val="20"/>
              </w:rPr>
              <w:t xml:space="preserve"> n.106/09</w:t>
            </w:r>
            <w:r w:rsidRPr="0045179A">
              <w:rPr>
                <w:sz w:val="20"/>
                <w:szCs w:val="20"/>
              </w:rPr>
              <w:t>)</w:t>
            </w:r>
          </w:p>
        </w:tc>
      </w:tr>
      <w:tr w:rsidR="0045179A" w:rsidTr="0045179A">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45179A" w:rsidRDefault="0045179A">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hideMark/>
          </w:tcPr>
          <w:p w:rsidR="0045179A" w:rsidRDefault="0045179A">
            <w:pPr>
              <w:spacing w:line="256" w:lineRule="auto"/>
              <w:rPr>
                <w:sz w:val="20"/>
                <w:szCs w:val="20"/>
                <w:lang w:eastAsia="en-US"/>
              </w:rPr>
            </w:pPr>
            <w:r>
              <w:rPr>
                <w:noProof/>
                <w:lang w:eastAsia="en-US"/>
              </w:rPr>
              <w:drawing>
                <wp:anchor distT="0" distB="0" distL="114300" distR="114300" simplePos="0" relativeHeight="251659264" behindDoc="1" locked="0" layoutInCell="1" allowOverlap="1">
                  <wp:simplePos x="0" y="0"/>
                  <wp:positionH relativeFrom="column">
                    <wp:posOffset>-43180</wp:posOffset>
                  </wp:positionH>
                  <wp:positionV relativeFrom="paragraph">
                    <wp:posOffset>8255</wp:posOffset>
                  </wp:positionV>
                  <wp:extent cx="1313815" cy="467995"/>
                  <wp:effectExtent l="0" t="0" r="635" b="8255"/>
                  <wp:wrapNone/>
                  <wp:docPr id="2" name="Immagine 2"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6"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45179A" w:rsidRDefault="0045179A">
            <w:pPr>
              <w:spacing w:line="256" w:lineRule="auto"/>
              <w:rPr>
                <w:sz w:val="20"/>
                <w:szCs w:val="20"/>
                <w:lang w:eastAsia="en-US"/>
              </w:rPr>
            </w:pPr>
          </w:p>
        </w:tc>
      </w:tr>
      <w:tr w:rsidR="0045179A" w:rsidTr="0045179A">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45179A" w:rsidRDefault="0045179A">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45179A" w:rsidRDefault="0045179A" w:rsidP="009D7176">
            <w:pPr>
              <w:numPr>
                <w:ilvl w:val="0"/>
                <w:numId w:val="2"/>
              </w:numPr>
              <w:suppressAutoHyphens w:val="0"/>
              <w:spacing w:line="256" w:lineRule="auto"/>
              <w:rPr>
                <w:noProof/>
                <w:sz w:val="20"/>
                <w:szCs w:val="20"/>
                <w:lang w:eastAsia="en-US"/>
              </w:rPr>
            </w:pPr>
            <w:r>
              <w:rPr>
                <w:sz w:val="20"/>
                <w:szCs w:val="20"/>
                <w:lang w:eastAsia="en-US"/>
              </w:rPr>
              <w:t>Casco protettivo (UNI EN 397)</w:t>
            </w:r>
          </w:p>
          <w:p w:rsidR="0045179A" w:rsidRDefault="0045179A" w:rsidP="009D7176">
            <w:pPr>
              <w:numPr>
                <w:ilvl w:val="0"/>
                <w:numId w:val="2"/>
              </w:numPr>
              <w:suppressAutoHyphens w:val="0"/>
              <w:spacing w:line="256" w:lineRule="auto"/>
              <w:rPr>
                <w:noProof/>
                <w:sz w:val="20"/>
                <w:szCs w:val="20"/>
                <w:lang w:eastAsia="en-US"/>
              </w:rPr>
            </w:pPr>
            <w:r>
              <w:rPr>
                <w:noProof/>
                <w:sz w:val="20"/>
                <w:szCs w:val="20"/>
                <w:lang w:eastAsia="en-US"/>
              </w:rPr>
              <w:t>Tuta di protezione (UNI EN 340)</w:t>
            </w:r>
          </w:p>
          <w:p w:rsidR="0045179A" w:rsidRDefault="0045179A" w:rsidP="009D7176">
            <w:pPr>
              <w:numPr>
                <w:ilvl w:val="0"/>
                <w:numId w:val="2"/>
              </w:numPr>
              <w:suppressAutoHyphens w:val="0"/>
              <w:spacing w:line="256" w:lineRule="auto"/>
              <w:rPr>
                <w:noProof/>
                <w:sz w:val="20"/>
                <w:szCs w:val="20"/>
                <w:lang w:eastAsia="en-US"/>
              </w:rPr>
            </w:pPr>
            <w:r>
              <w:rPr>
                <w:noProof/>
                <w:sz w:val="20"/>
                <w:szCs w:val="20"/>
                <w:lang w:eastAsia="en-US"/>
              </w:rPr>
              <w:t>Scarpe antinfortunistiche (UNI EN ISO 20344)</w:t>
            </w:r>
          </w:p>
          <w:p w:rsidR="0045179A" w:rsidRDefault="0045179A" w:rsidP="009D7176">
            <w:pPr>
              <w:numPr>
                <w:ilvl w:val="0"/>
                <w:numId w:val="2"/>
              </w:numPr>
              <w:suppressAutoHyphens w:val="0"/>
              <w:spacing w:line="256" w:lineRule="auto"/>
              <w:rPr>
                <w:noProof/>
                <w:sz w:val="20"/>
                <w:szCs w:val="20"/>
                <w:lang w:eastAsia="en-US"/>
              </w:rPr>
            </w:pPr>
            <w:r>
              <w:rPr>
                <w:noProof/>
                <w:sz w:val="20"/>
                <w:szCs w:val="20"/>
                <w:lang w:eastAsia="en-US"/>
              </w:rPr>
              <w:t>Guanti in crosta (UNI EN 388)</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938D5"/>
    <w:multiLevelType w:val="hybridMultilevel"/>
    <w:tmpl w:val="29144D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12F86FD2"/>
    <w:multiLevelType w:val="hybridMultilevel"/>
    <w:tmpl w:val="6576C67E"/>
    <w:lvl w:ilvl="0" w:tplc="5DEC8AE2">
      <w:start w:val="1"/>
      <w:numFmt w:val="bullet"/>
      <w:lvlText w:val=""/>
      <w:lvlJc w:val="left"/>
      <w:pPr>
        <w:tabs>
          <w:tab w:val="num" w:pos="720"/>
        </w:tabs>
        <w:ind w:left="720" w:hanging="360"/>
      </w:pPr>
      <w:rPr>
        <w:rFonts w:ascii="Symbol" w:hAnsi="Symbol" w:hint="default"/>
        <w:sz w:val="16"/>
        <w:szCs w:val="16"/>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9A"/>
    <w:rsid w:val="0045179A"/>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D08E"/>
  <w15:chartTrackingRefBased/>
  <w15:docId w15:val="{72BE8C92-1EF3-45A9-B7E0-039E68C51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5179A"/>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45179A"/>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45179A"/>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45179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825446">
      <w:bodyDiv w:val="1"/>
      <w:marLeft w:val="0"/>
      <w:marRight w:val="0"/>
      <w:marTop w:val="0"/>
      <w:marBottom w:val="0"/>
      <w:divBdr>
        <w:top w:val="none" w:sz="0" w:space="0" w:color="auto"/>
        <w:left w:val="none" w:sz="0" w:space="0" w:color="auto"/>
        <w:bottom w:val="none" w:sz="0" w:space="0" w:color="auto"/>
        <w:right w:val="none" w:sz="0" w:space="0" w:color="auto"/>
      </w:divBdr>
    </w:div>
    <w:div w:id="172263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2019-12-09T15:21:00Z</dcterms:created>
  <dcterms:modified xsi:type="dcterms:W3CDTF">2019-12-09T15:26:00Z</dcterms:modified>
</cp:coreProperties>
</file>