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567AA" w14:textId="77777777" w:rsidR="008B08D7" w:rsidRDefault="008B08D7" w:rsidP="008B08D7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B08D7" w14:paraId="55B14DFE" w14:textId="7777777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36A6FF" w14:textId="69BF8C82" w:rsidR="008B08D7" w:rsidRDefault="008B08D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ATTREZZATURE: </w:t>
            </w: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COMPARTO OLEARIO </w:t>
            </w:r>
          </w:p>
        </w:tc>
      </w:tr>
      <w:tr w:rsidR="008B08D7" w14:paraId="6CFC8488" w14:textId="7777777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DC72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CCB8" w14:textId="77777777" w:rsidR="008B08D7" w:rsidRDefault="008B08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56C7760" w14:textId="77777777" w:rsidR="008B08D7" w:rsidRDefault="008B08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D2C711F" w14:textId="77777777" w:rsidR="008B08D7" w:rsidRDefault="008B08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8B08D7" w14:paraId="28E58380" w14:textId="7777777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402E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F867" w14:textId="77777777" w:rsidR="008B08D7" w:rsidRDefault="008B08D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B08D7" w14:paraId="488CF2E3" w14:textId="7777777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2978D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ABBB" w14:textId="77777777" w:rsidR="008B08D7" w:rsidRDefault="008B08D7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CESOIAMENTO E/O SCHIACCIAMENTO DEGLI ARTI SUPERIORI</w:t>
            </w:r>
          </w:p>
          <w:p w14:paraId="7B44DE8D" w14:textId="77777777" w:rsidR="008B08D7" w:rsidRDefault="008B08D7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1C1ABB37" w14:textId="77777777" w:rsidR="008B08D7" w:rsidRDefault="008B08D7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8B08D7" w14:paraId="26EA8B85" w14:textId="7777777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DA5C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EAD8" w14:textId="1AE4E586" w:rsidR="008B08D7" w:rsidRDefault="008B08D7">
            <w:pPr>
              <w:rPr>
                <w:rFonts w:ascii="Times" w:hAnsi="Times"/>
                <w:i/>
                <w:sz w:val="20"/>
                <w:szCs w:val="20"/>
              </w:rPr>
            </w:pPr>
            <w:r>
              <w:rPr>
                <w:rFonts w:ascii="Times" w:hAnsi="Times"/>
                <w:i/>
                <w:sz w:val="20"/>
                <w:szCs w:val="20"/>
              </w:rPr>
              <w:t>PER OGNI ATTREZZATURA PROCEDERE ALLE SEGUENTI MISURE:</w:t>
            </w:r>
          </w:p>
          <w:p w14:paraId="780D17C3" w14:textId="77777777" w:rsidR="008B08D7" w:rsidRDefault="008B08D7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Prima dell’utilizzo</w:t>
            </w:r>
          </w:p>
          <w:p w14:paraId="295595FE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14:paraId="5367F861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Verificare la presenza e il corretto posizionamento dei ripari e dei dispositivi di sicurezza</w:t>
            </w:r>
          </w:p>
          <w:p w14:paraId="56B0898A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Verificare il funzionamento del pulsante di arresto di emergenza </w:t>
            </w:r>
          </w:p>
          <w:p w14:paraId="4D9946FA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Indossare i DPI indicati in questa scheda. </w:t>
            </w:r>
          </w:p>
          <w:p w14:paraId="0C44C87A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</w:p>
          <w:p w14:paraId="45CBBA20" w14:textId="77777777" w:rsidR="008B08D7" w:rsidRDefault="008B08D7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Durante l’utilizzo</w:t>
            </w:r>
          </w:p>
          <w:p w14:paraId="33B0343E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Obbligo di non indossare indumenti che possono impigliarsi (es. maniche larghe o non trattenute al polso da elastici) o braccialetti o simili.</w:t>
            </w:r>
          </w:p>
          <w:p w14:paraId="09D10778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La rimozione di eventuali residui di lavorazione deve essere effettuata esclusivamente a m</w:t>
            </w:r>
            <w:r>
              <w:rPr>
                <w:rFonts w:ascii="Times" w:hAnsi="Times"/>
                <w:i/>
                <w:sz w:val="20"/>
                <w:szCs w:val="20"/>
              </w:rPr>
              <w:t>acchina</w:t>
            </w:r>
            <w:r>
              <w:rPr>
                <w:rFonts w:ascii="Times" w:hAnsi="Times"/>
                <w:sz w:val="20"/>
                <w:szCs w:val="20"/>
              </w:rPr>
              <w:t xml:space="preserve"> ferma</w:t>
            </w:r>
          </w:p>
          <w:p w14:paraId="33182B03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Segnalare tempestivamente eventuali malfunzionamenti o guasti al preposto.</w:t>
            </w:r>
          </w:p>
          <w:p w14:paraId="4136D035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</w:p>
          <w:p w14:paraId="6EDE4AFB" w14:textId="77777777" w:rsidR="008B08D7" w:rsidRDefault="008B08D7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Dopo l’utilizzo</w:t>
            </w:r>
          </w:p>
          <w:p w14:paraId="60EF7532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Spegnere la macchina.</w:t>
            </w:r>
          </w:p>
          <w:p w14:paraId="5D6FDC4C" w14:textId="77777777" w:rsidR="008B08D7" w:rsidRDefault="008B08D7" w:rsidP="005410CC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Lasciare pulita e in ordine la zona circostante la macchina (in particolare il posto di lavoro). </w:t>
            </w:r>
          </w:p>
          <w:p w14:paraId="27634759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</w:p>
          <w:p w14:paraId="26B4DEDA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Oltre a garantire la sicurezza delle macchine, e controllare periodicamente l'efficacia dei dispositivi di sicurezza il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DdL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deve:</w:t>
            </w:r>
          </w:p>
          <w:p w14:paraId="03D6098C" w14:textId="77777777" w:rsidR="008B08D7" w:rsidRDefault="008B08D7" w:rsidP="005410CC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informare, formare e addestrare il personale che le utilizza;</w:t>
            </w:r>
          </w:p>
          <w:p w14:paraId="4538E3C0" w14:textId="77777777" w:rsidR="008B08D7" w:rsidRDefault="008B08D7" w:rsidP="005410CC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fornire le istruzioni operative (redatte secondo il manuale di istruzioni all'uso e di manutenzione)</w:t>
            </w:r>
          </w:p>
          <w:p w14:paraId="328616D1" w14:textId="77777777" w:rsidR="008B08D7" w:rsidRDefault="008B08D7" w:rsidP="005410CC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vigilare sull’osservanza delle indicazioni fornite.</w:t>
            </w:r>
          </w:p>
          <w:p w14:paraId="5D261023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</w:p>
          <w:p w14:paraId="1846021B" w14:textId="77777777" w:rsidR="008B08D7" w:rsidRDefault="008B08D7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Si ricorda inoltre che le regole generali per la manutenzione, riparazione, regolazione, ecc. sono indicate nel manuale d’uso e manutenzione e, in generale, nel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81/08 all’allegato V parte I punto 11.</w:t>
            </w:r>
          </w:p>
          <w:p w14:paraId="2D260715" w14:textId="77777777" w:rsidR="008B08D7" w:rsidRDefault="008B08D7" w:rsidP="008B08D7">
            <w:pPr>
              <w:rPr>
                <w:rFonts w:ascii="Times" w:hAnsi="Times"/>
                <w:sz w:val="20"/>
                <w:szCs w:val="20"/>
              </w:rPr>
            </w:pPr>
          </w:p>
        </w:tc>
      </w:tr>
      <w:tr w:rsidR="008B08D7" w14:paraId="54B69020" w14:textId="7777777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2D75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A790" w14:textId="0C944A82" w:rsidR="008B08D7" w:rsidRDefault="008B08D7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7B52B90" wp14:editId="649393A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C5525BA" wp14:editId="6CB9F365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-40005</wp:posOffset>
                  </wp:positionV>
                  <wp:extent cx="1310005" cy="467995"/>
                  <wp:effectExtent l="0" t="0" r="4445" b="8255"/>
                  <wp:wrapSquare wrapText="bothSides"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95387E" wp14:editId="12915BE6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0412C8" w14:textId="77777777" w:rsidR="008B08D7" w:rsidRDefault="008B08D7">
            <w:pPr>
              <w:spacing w:line="254" w:lineRule="auto"/>
              <w:rPr>
                <w:lang w:eastAsia="en-US"/>
              </w:rPr>
            </w:pPr>
          </w:p>
          <w:p w14:paraId="6B5169D5" w14:textId="77777777" w:rsidR="008B08D7" w:rsidRDefault="008B08D7">
            <w:pPr>
              <w:spacing w:line="254" w:lineRule="auto"/>
              <w:rPr>
                <w:lang w:eastAsia="en-US"/>
              </w:rPr>
            </w:pPr>
          </w:p>
          <w:p w14:paraId="2D55EECA" w14:textId="0BAE1C49" w:rsidR="008B08D7" w:rsidRDefault="008B08D7">
            <w:pPr>
              <w:spacing w:line="254" w:lineRule="auto"/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CA53795" wp14:editId="23944F2C">
                  <wp:extent cx="1362075" cy="561975"/>
                  <wp:effectExtent l="0" t="0" r="9525" b="952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095201A2" wp14:editId="3090DE55">
                  <wp:extent cx="561975" cy="704850"/>
                  <wp:effectExtent l="0" t="0" r="952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8D7" w14:paraId="78D49B06" w14:textId="77777777">
        <w:trPr>
          <w:trHeight w:val="155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062B" w14:textId="77777777" w:rsidR="008B08D7" w:rsidRDefault="008B08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AB10" w14:textId="77777777" w:rsidR="008B08D7" w:rsidRDefault="008B08D7" w:rsidP="005410CC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C085FFF" w14:textId="77777777" w:rsidR="008B08D7" w:rsidRDefault="008B08D7" w:rsidP="005410CC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(UNI EN 340)</w:t>
            </w:r>
          </w:p>
          <w:p w14:paraId="1857BC04" w14:textId="77777777" w:rsidR="008B08D7" w:rsidRDefault="008B08D7" w:rsidP="005410CC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Occhiali di protezione EN 166</w:t>
            </w:r>
          </w:p>
        </w:tc>
      </w:tr>
    </w:tbl>
    <w:p w14:paraId="0F4C3084" w14:textId="77777777" w:rsidR="008B08D7" w:rsidRDefault="008B08D7" w:rsidP="008B08D7">
      <w:pPr>
        <w:rPr>
          <w:lang w:eastAsia="en-US" w:bidi="en-US"/>
        </w:rPr>
      </w:pPr>
    </w:p>
    <w:p w14:paraId="0C761AE8" w14:textId="2562B869" w:rsidR="00BF158D" w:rsidRDefault="00BF158D" w:rsidP="008B08D7"/>
    <w:tbl>
      <w:tblPr>
        <w:tblStyle w:val="Grigliatabella"/>
        <w:tblW w:w="9984" w:type="dxa"/>
        <w:tblLook w:val="04A0" w:firstRow="1" w:lastRow="0" w:firstColumn="1" w:lastColumn="0" w:noHBand="0" w:noVBand="1"/>
      </w:tblPr>
      <w:tblGrid>
        <w:gridCol w:w="2496"/>
        <w:gridCol w:w="2496"/>
        <w:gridCol w:w="2496"/>
        <w:gridCol w:w="2496"/>
      </w:tblGrid>
      <w:tr w:rsidR="00BF158D" w14:paraId="35CEAEDD" w14:textId="77777777" w:rsidTr="005410CC">
        <w:trPr>
          <w:trHeight w:val="559"/>
        </w:trPr>
        <w:tc>
          <w:tcPr>
            <w:tcW w:w="2496" w:type="dxa"/>
            <w:vAlign w:val="center"/>
          </w:tcPr>
          <w:p w14:paraId="29F2F7B2" w14:textId="77777777" w:rsidR="00BF158D" w:rsidRPr="00BF158D" w:rsidRDefault="00BF158D" w:rsidP="005410CC">
            <w:pPr>
              <w:rPr>
                <w:b/>
                <w:bCs/>
                <w:sz w:val="22"/>
                <w:szCs w:val="22"/>
              </w:rPr>
            </w:pPr>
            <w:r w:rsidRPr="00BF158D">
              <w:rPr>
                <w:rStyle w:val="fontstyle01"/>
                <w:rFonts w:ascii="Times New Roman" w:hAnsi="Times New Roman" w:cs="Times New Roman"/>
                <w:b/>
                <w:bCs/>
              </w:rPr>
              <w:t xml:space="preserve">RISCHIO </w:t>
            </w:r>
          </w:p>
        </w:tc>
        <w:tc>
          <w:tcPr>
            <w:tcW w:w="2496" w:type="dxa"/>
            <w:vAlign w:val="center"/>
          </w:tcPr>
          <w:p w14:paraId="69153117" w14:textId="77777777" w:rsidR="00BF158D" w:rsidRPr="00BF158D" w:rsidRDefault="00BF158D" w:rsidP="005410CC">
            <w:pPr>
              <w:rPr>
                <w:b/>
                <w:bCs/>
                <w:sz w:val="22"/>
                <w:szCs w:val="22"/>
              </w:rPr>
            </w:pPr>
            <w:r w:rsidRPr="00BF158D">
              <w:rPr>
                <w:rStyle w:val="fontstyle01"/>
                <w:rFonts w:ascii="Times New Roman" w:hAnsi="Times New Roman" w:cs="Times New Roman"/>
                <w:b/>
                <w:bCs/>
              </w:rPr>
              <w:t xml:space="preserve">DANNO </w:t>
            </w:r>
          </w:p>
        </w:tc>
        <w:tc>
          <w:tcPr>
            <w:tcW w:w="2496" w:type="dxa"/>
            <w:vAlign w:val="center"/>
          </w:tcPr>
          <w:p w14:paraId="6D093FDB" w14:textId="77777777" w:rsidR="00BF158D" w:rsidRPr="00BF158D" w:rsidRDefault="00BF158D" w:rsidP="005410CC">
            <w:pPr>
              <w:rPr>
                <w:b/>
                <w:bCs/>
                <w:sz w:val="22"/>
                <w:szCs w:val="22"/>
              </w:rPr>
            </w:pPr>
            <w:r w:rsidRPr="00BF158D">
              <w:rPr>
                <w:rStyle w:val="fontstyle01"/>
                <w:rFonts w:ascii="Times New Roman" w:hAnsi="Times New Roman" w:cs="Times New Roman"/>
                <w:b/>
                <w:bCs/>
              </w:rPr>
              <w:t xml:space="preserve">MISURE DI PREVENZIONE </w:t>
            </w:r>
          </w:p>
        </w:tc>
        <w:tc>
          <w:tcPr>
            <w:tcW w:w="2496" w:type="dxa"/>
            <w:vAlign w:val="center"/>
          </w:tcPr>
          <w:p w14:paraId="16E3A21B" w14:textId="77777777" w:rsidR="00BF158D" w:rsidRPr="00BF158D" w:rsidRDefault="00BF158D" w:rsidP="005410CC">
            <w:pPr>
              <w:rPr>
                <w:b/>
                <w:bCs/>
                <w:sz w:val="22"/>
                <w:szCs w:val="22"/>
              </w:rPr>
            </w:pPr>
            <w:r w:rsidRPr="00BF158D">
              <w:rPr>
                <w:rStyle w:val="fontstyle01"/>
                <w:rFonts w:ascii="Times New Roman" w:hAnsi="Times New Roman" w:cs="Times New Roman"/>
                <w:b/>
                <w:bCs/>
              </w:rPr>
              <w:t>MISURE DI PROTEZIONE</w:t>
            </w:r>
          </w:p>
        </w:tc>
      </w:tr>
      <w:tr w:rsidR="00BF158D" w14:paraId="2032491D" w14:textId="77777777" w:rsidTr="005410CC">
        <w:trPr>
          <w:trHeight w:val="415"/>
        </w:trPr>
        <w:tc>
          <w:tcPr>
            <w:tcW w:w="2496" w:type="dxa"/>
            <w:vMerge w:val="restart"/>
          </w:tcPr>
          <w:p w14:paraId="551731F2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Pavimentazione</w:t>
            </w:r>
          </w:p>
          <w:p w14:paraId="75E3ECB3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Scivolosa</w:t>
            </w:r>
          </w:p>
        </w:tc>
        <w:tc>
          <w:tcPr>
            <w:tcW w:w="2496" w:type="dxa"/>
            <w:vMerge w:val="restart"/>
          </w:tcPr>
          <w:p w14:paraId="43FC7C6C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Scivolamento e cadute:</w:t>
            </w:r>
          </w:p>
          <w:p w14:paraId="483E1C91" w14:textId="1B863A9C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Fratture e distorsion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496" w:type="dxa"/>
          </w:tcPr>
          <w:p w14:paraId="11DABEA5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Pavimentazione in materiale</w:t>
            </w:r>
          </w:p>
          <w:p w14:paraId="0FD07CDD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Antiscivolo</w:t>
            </w:r>
          </w:p>
        </w:tc>
        <w:tc>
          <w:tcPr>
            <w:tcW w:w="2496" w:type="dxa"/>
            <w:vMerge w:val="restart"/>
          </w:tcPr>
          <w:p w14:paraId="4C52D13F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Calzature con suola antiscivolo</w:t>
            </w:r>
          </w:p>
        </w:tc>
      </w:tr>
      <w:tr w:rsidR="00BF158D" w14:paraId="5471BD3E" w14:textId="77777777" w:rsidTr="005410CC">
        <w:trPr>
          <w:trHeight w:val="630"/>
        </w:trPr>
        <w:tc>
          <w:tcPr>
            <w:tcW w:w="2496" w:type="dxa"/>
            <w:vMerge/>
          </w:tcPr>
          <w:p w14:paraId="442B8E3D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</w:tcPr>
          <w:p w14:paraId="55FC968C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</w:tcPr>
          <w:p w14:paraId="56285146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Pavimenti non sconnessi e privi di</w:t>
            </w:r>
          </w:p>
          <w:p w14:paraId="63C2D128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Ostacoli</w:t>
            </w:r>
          </w:p>
        </w:tc>
        <w:tc>
          <w:tcPr>
            <w:tcW w:w="2496" w:type="dxa"/>
            <w:vMerge/>
          </w:tcPr>
          <w:p w14:paraId="43DEC67F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7689D10B" w14:textId="77777777" w:rsidTr="005410CC">
        <w:trPr>
          <w:trHeight w:val="645"/>
        </w:trPr>
        <w:tc>
          <w:tcPr>
            <w:tcW w:w="2496" w:type="dxa"/>
            <w:vMerge/>
          </w:tcPr>
          <w:p w14:paraId="2A75DBD3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</w:tcPr>
          <w:p w14:paraId="067F0180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</w:tcPr>
          <w:p w14:paraId="516948CA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Uso di detergenti sgrassanti per</w:t>
            </w:r>
          </w:p>
          <w:p w14:paraId="4F1A5D8D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Pavimenti</w:t>
            </w:r>
          </w:p>
        </w:tc>
        <w:tc>
          <w:tcPr>
            <w:tcW w:w="2496" w:type="dxa"/>
            <w:vMerge/>
          </w:tcPr>
          <w:p w14:paraId="4183C0D7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62187EFE" w14:textId="77777777" w:rsidTr="005410CC">
        <w:trPr>
          <w:trHeight w:val="1060"/>
        </w:trPr>
        <w:tc>
          <w:tcPr>
            <w:tcW w:w="2496" w:type="dxa"/>
            <w:vMerge/>
          </w:tcPr>
          <w:p w14:paraId="20258424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</w:tcPr>
          <w:p w14:paraId="5A4B1758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</w:tcPr>
          <w:p w14:paraId="0DCB62A3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Protocollo che prevede la pulizia</w:t>
            </w:r>
          </w:p>
          <w:p w14:paraId="4E93CE9F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Immediata in caso di sverso di</w:t>
            </w:r>
          </w:p>
          <w:p w14:paraId="176A8793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sz w:val="18"/>
                <w:szCs w:val="18"/>
              </w:rPr>
              <w:t>Sostanze liquide o olive</w:t>
            </w:r>
          </w:p>
        </w:tc>
        <w:tc>
          <w:tcPr>
            <w:tcW w:w="2496" w:type="dxa"/>
            <w:vMerge/>
          </w:tcPr>
          <w:p w14:paraId="6CDFD5C3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32C9FAB4" w14:textId="77777777" w:rsidTr="005410CC">
        <w:trPr>
          <w:trHeight w:val="200"/>
        </w:trPr>
        <w:tc>
          <w:tcPr>
            <w:tcW w:w="2496" w:type="dxa"/>
            <w:vAlign w:val="center"/>
          </w:tcPr>
          <w:p w14:paraId="60CCB88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Tramoggia </w:t>
            </w:r>
          </w:p>
        </w:tc>
        <w:tc>
          <w:tcPr>
            <w:tcW w:w="2496" w:type="dxa"/>
            <w:vAlign w:val="center"/>
          </w:tcPr>
          <w:p w14:paraId="28CF0BB9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Cadute: traumi, lesioni </w:t>
            </w:r>
          </w:p>
        </w:tc>
        <w:tc>
          <w:tcPr>
            <w:tcW w:w="2496" w:type="dxa"/>
            <w:vAlign w:val="center"/>
          </w:tcPr>
          <w:p w14:paraId="2A019066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Protezioni contro la caduta</w:t>
            </w:r>
          </w:p>
        </w:tc>
        <w:tc>
          <w:tcPr>
            <w:tcW w:w="2496" w:type="dxa"/>
            <w:vAlign w:val="center"/>
          </w:tcPr>
          <w:p w14:paraId="190D6AE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Tramoggia </w:t>
            </w:r>
          </w:p>
        </w:tc>
      </w:tr>
      <w:tr w:rsidR="00BF158D" w14:paraId="46CA0028" w14:textId="77777777" w:rsidTr="005410CC">
        <w:trPr>
          <w:trHeight w:val="415"/>
        </w:trPr>
        <w:tc>
          <w:tcPr>
            <w:tcW w:w="2496" w:type="dxa"/>
            <w:vAlign w:val="center"/>
          </w:tcPr>
          <w:p w14:paraId="09A3916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Coclea </w:t>
            </w:r>
          </w:p>
        </w:tc>
        <w:tc>
          <w:tcPr>
            <w:tcW w:w="2496" w:type="dxa"/>
            <w:vAlign w:val="center"/>
          </w:tcPr>
          <w:p w14:paraId="630CDC60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Afferramento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: traumi e lesioni </w:t>
            </w:r>
          </w:p>
        </w:tc>
        <w:tc>
          <w:tcPr>
            <w:tcW w:w="2496" w:type="dxa"/>
            <w:vAlign w:val="center"/>
          </w:tcPr>
          <w:p w14:paraId="7F6F3A2B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Non indossare abiti svolazzanti</w:t>
            </w:r>
          </w:p>
        </w:tc>
        <w:tc>
          <w:tcPr>
            <w:tcW w:w="2496" w:type="dxa"/>
            <w:vAlign w:val="center"/>
          </w:tcPr>
          <w:p w14:paraId="69178804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Segregazione degli organi in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movimento</w:t>
            </w:r>
          </w:p>
        </w:tc>
      </w:tr>
      <w:tr w:rsidR="00BF158D" w14:paraId="558EAEB6" w14:textId="77777777" w:rsidTr="005410CC">
        <w:trPr>
          <w:trHeight w:val="415"/>
        </w:trPr>
        <w:tc>
          <w:tcPr>
            <w:tcW w:w="2496" w:type="dxa"/>
            <w:vMerge w:val="restart"/>
            <w:vAlign w:val="center"/>
          </w:tcPr>
          <w:p w14:paraId="4E74DE4A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Nastro trasportatore</w:t>
            </w:r>
          </w:p>
          <w:p w14:paraId="74809BF7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04EC3FD4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Afferramento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: traumi</w:t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 xml:space="preserve"> </w:t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e lesioni </w:t>
            </w:r>
          </w:p>
        </w:tc>
        <w:tc>
          <w:tcPr>
            <w:tcW w:w="2496" w:type="dxa"/>
            <w:vAlign w:val="center"/>
          </w:tcPr>
          <w:p w14:paraId="76596D79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Non indossare abiti svolazz</w:t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anti</w:t>
            </w:r>
          </w:p>
        </w:tc>
        <w:tc>
          <w:tcPr>
            <w:tcW w:w="2496" w:type="dxa"/>
            <w:vAlign w:val="center"/>
          </w:tcPr>
          <w:p w14:paraId="5FC9A368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Segregazione degli organi in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movimento</w:t>
            </w:r>
          </w:p>
        </w:tc>
      </w:tr>
      <w:tr w:rsidR="00BF158D" w14:paraId="7EFF3419" w14:textId="77777777" w:rsidTr="005410CC">
        <w:trPr>
          <w:trHeight w:val="430"/>
        </w:trPr>
        <w:tc>
          <w:tcPr>
            <w:tcW w:w="2496" w:type="dxa"/>
            <w:vMerge/>
            <w:vAlign w:val="center"/>
          </w:tcPr>
          <w:p w14:paraId="5DD16577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452E6EE8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Caduta montacarichi mobile: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schiacciamento</w:t>
            </w:r>
          </w:p>
        </w:tc>
        <w:tc>
          <w:tcPr>
            <w:tcW w:w="2496" w:type="dxa"/>
            <w:vAlign w:val="center"/>
          </w:tcPr>
          <w:p w14:paraId="21618A9B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Verifica periodica dell'ancoraggio</w:t>
            </w:r>
          </w:p>
        </w:tc>
        <w:tc>
          <w:tcPr>
            <w:tcW w:w="2496" w:type="dxa"/>
            <w:vAlign w:val="center"/>
          </w:tcPr>
          <w:p w14:paraId="360F2B5C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44A6E258" w14:textId="77777777" w:rsidTr="005410CC">
        <w:trPr>
          <w:trHeight w:val="415"/>
        </w:trPr>
        <w:tc>
          <w:tcPr>
            <w:tcW w:w="2496" w:type="dxa"/>
            <w:vMerge w:val="restart"/>
          </w:tcPr>
          <w:p w14:paraId="1F7E8E75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Defogliatrice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 e/o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lavatrice</w:t>
            </w:r>
          </w:p>
          <w:p w14:paraId="552BDD38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 w:val="restart"/>
          </w:tcPr>
          <w:p w14:paraId="0ED28876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Afferramento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: traumi e lesioni</w:t>
            </w:r>
          </w:p>
          <w:p w14:paraId="3DC9C58C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00AC6BEC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Non indossare abiti svolazzanti</w:t>
            </w:r>
          </w:p>
        </w:tc>
        <w:tc>
          <w:tcPr>
            <w:tcW w:w="2496" w:type="dxa"/>
            <w:vAlign w:val="center"/>
          </w:tcPr>
          <w:p w14:paraId="71B4EAF6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Segregazione degli organi in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movimento</w:t>
            </w:r>
          </w:p>
        </w:tc>
      </w:tr>
      <w:tr w:rsidR="00BF158D" w14:paraId="72CD61AE" w14:textId="77777777" w:rsidTr="005410CC">
        <w:trPr>
          <w:trHeight w:val="430"/>
        </w:trPr>
        <w:tc>
          <w:tcPr>
            <w:tcW w:w="2496" w:type="dxa"/>
            <w:vMerge/>
          </w:tcPr>
          <w:p w14:paraId="51461C77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</w:tcPr>
          <w:p w14:paraId="09BEDA8C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79D2F41D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Non indossare abiti svolazzanti</w:t>
            </w:r>
          </w:p>
        </w:tc>
        <w:tc>
          <w:tcPr>
            <w:tcW w:w="2496" w:type="dxa"/>
            <w:vAlign w:val="center"/>
          </w:tcPr>
          <w:p w14:paraId="2CEBF2C6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Bloccaggio dei condotti di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aspirazione di mandata</w:t>
            </w:r>
          </w:p>
        </w:tc>
      </w:tr>
      <w:tr w:rsidR="00BF158D" w14:paraId="0E842423" w14:textId="77777777" w:rsidTr="005410CC">
        <w:trPr>
          <w:trHeight w:val="415"/>
        </w:trPr>
        <w:tc>
          <w:tcPr>
            <w:tcW w:w="2496" w:type="dxa"/>
            <w:vMerge w:val="restart"/>
            <w:vAlign w:val="center"/>
          </w:tcPr>
          <w:p w14:paraId="4C29428D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Frangitore</w:t>
            </w:r>
          </w:p>
          <w:p w14:paraId="65EAFC41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 w:val="restart"/>
            <w:vAlign w:val="center"/>
          </w:tcPr>
          <w:p w14:paraId="02DC2C13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Affe</w:t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r</w:t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ramento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,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schiacciamento, urti: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lesioni gravi agli arti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</w:t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uperiori</w:t>
            </w:r>
          </w:p>
          <w:p w14:paraId="53937BF0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5C06986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Segregazione degli organi in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movimento e di trasmissione</w:t>
            </w:r>
          </w:p>
        </w:tc>
        <w:tc>
          <w:tcPr>
            <w:tcW w:w="2496" w:type="dxa"/>
            <w:vMerge w:val="restart"/>
          </w:tcPr>
          <w:p w14:paraId="0410AB31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5D8A3872" w14:textId="77777777" w:rsidTr="005410CC">
        <w:trPr>
          <w:trHeight w:val="645"/>
        </w:trPr>
        <w:tc>
          <w:tcPr>
            <w:tcW w:w="2496" w:type="dxa"/>
            <w:vMerge/>
            <w:vAlign w:val="center"/>
          </w:tcPr>
          <w:p w14:paraId="7E6B0211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  <w:vAlign w:val="center"/>
          </w:tcPr>
          <w:p w14:paraId="6A3B3E95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7DDCD66E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Installazione di </w:t>
            </w: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microswitch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 alle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protezioni</w:t>
            </w:r>
          </w:p>
        </w:tc>
        <w:tc>
          <w:tcPr>
            <w:tcW w:w="2496" w:type="dxa"/>
            <w:vMerge/>
          </w:tcPr>
          <w:p w14:paraId="1C1B4747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6D8BB730" w14:textId="77777777" w:rsidTr="005410CC">
        <w:trPr>
          <w:trHeight w:val="215"/>
        </w:trPr>
        <w:tc>
          <w:tcPr>
            <w:tcW w:w="2496" w:type="dxa"/>
            <w:vMerge/>
            <w:vAlign w:val="center"/>
          </w:tcPr>
          <w:p w14:paraId="1AA45C76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  <w:vAlign w:val="center"/>
          </w:tcPr>
          <w:p w14:paraId="2E7BD5B0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5FC18AF7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Pulsante di arresto</w:t>
            </w:r>
          </w:p>
        </w:tc>
        <w:tc>
          <w:tcPr>
            <w:tcW w:w="2496" w:type="dxa"/>
            <w:vMerge/>
          </w:tcPr>
          <w:p w14:paraId="1EFD1141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2896CA71" w14:textId="77777777" w:rsidTr="005410CC">
        <w:trPr>
          <w:trHeight w:val="200"/>
        </w:trPr>
        <w:tc>
          <w:tcPr>
            <w:tcW w:w="2496" w:type="dxa"/>
            <w:vMerge w:val="restart"/>
            <w:vAlign w:val="center"/>
          </w:tcPr>
          <w:p w14:paraId="23FF9EB5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Gramolatrice </w:t>
            </w:r>
          </w:p>
          <w:p w14:paraId="20783962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 w:val="restart"/>
            <w:vAlign w:val="center"/>
          </w:tcPr>
          <w:p w14:paraId="3F3E1DD9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Afferramento</w:t>
            </w:r>
            <w:proofErr w:type="spellEnd"/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: lesioni gravi</w:t>
            </w:r>
          </w:p>
          <w:p w14:paraId="4D0BDEFB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5B761228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>Griglia di protezione</w:t>
            </w:r>
          </w:p>
        </w:tc>
        <w:tc>
          <w:tcPr>
            <w:tcW w:w="2496" w:type="dxa"/>
            <w:vMerge w:val="restart"/>
          </w:tcPr>
          <w:p w14:paraId="5BA3739A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42B4770C" w14:textId="77777777" w:rsidTr="005410CC">
        <w:trPr>
          <w:trHeight w:val="430"/>
        </w:trPr>
        <w:tc>
          <w:tcPr>
            <w:tcW w:w="2496" w:type="dxa"/>
            <w:vMerge/>
            <w:vAlign w:val="center"/>
          </w:tcPr>
          <w:p w14:paraId="3BE10F51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  <w:vAlign w:val="center"/>
          </w:tcPr>
          <w:p w14:paraId="44156E18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052D562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Non indossare abiti svolazzanti</w:t>
            </w:r>
          </w:p>
        </w:tc>
        <w:tc>
          <w:tcPr>
            <w:tcW w:w="2496" w:type="dxa"/>
            <w:vMerge/>
          </w:tcPr>
          <w:p w14:paraId="374DE770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575DCE0E" w14:textId="77777777" w:rsidTr="005410CC">
        <w:trPr>
          <w:trHeight w:val="215"/>
        </w:trPr>
        <w:tc>
          <w:tcPr>
            <w:tcW w:w="2496" w:type="dxa"/>
            <w:vMerge/>
            <w:vAlign w:val="center"/>
          </w:tcPr>
          <w:p w14:paraId="2047EC84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Merge/>
            <w:vAlign w:val="center"/>
          </w:tcPr>
          <w:p w14:paraId="02493FAD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4F1C7A68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Pulsante di arresto</w:t>
            </w:r>
          </w:p>
        </w:tc>
        <w:tc>
          <w:tcPr>
            <w:tcW w:w="2496" w:type="dxa"/>
            <w:vMerge/>
          </w:tcPr>
          <w:p w14:paraId="1290C838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3956011A" w14:textId="77777777" w:rsidTr="005410CC">
        <w:trPr>
          <w:trHeight w:val="630"/>
        </w:trPr>
        <w:tc>
          <w:tcPr>
            <w:tcW w:w="2496" w:type="dxa"/>
            <w:vAlign w:val="center"/>
          </w:tcPr>
          <w:p w14:paraId="44B6D464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Decanter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 (estrattore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centrifugo)</w:t>
            </w:r>
          </w:p>
        </w:tc>
        <w:tc>
          <w:tcPr>
            <w:tcW w:w="2496" w:type="dxa"/>
            <w:vMerge w:val="restart"/>
            <w:vAlign w:val="center"/>
          </w:tcPr>
          <w:p w14:paraId="34FEC9FC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proofErr w:type="spellStart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Afferramento</w:t>
            </w:r>
            <w:proofErr w:type="spellEnd"/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: lesioni gravi</w:t>
            </w:r>
          </w:p>
          <w:p w14:paraId="2D97913B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2AAB3F41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Segregazione degli organi in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movimen</w:t>
            </w:r>
            <w:r w:rsidRPr="00BF158D">
              <w:rPr>
                <w:rStyle w:val="Titolo3Carattere"/>
                <w:rFonts w:ascii="Times New Roman" w:hAnsi="Times New Roman"/>
                <w:sz w:val="18"/>
                <w:szCs w:val="18"/>
              </w:rPr>
              <w:t>to</w:t>
            </w:r>
            <w:r w:rsidRPr="00BF158D">
              <w:rPr>
                <w:color w:val="000000"/>
                <w:sz w:val="18"/>
                <w:szCs w:val="18"/>
              </w:rPr>
              <w:br/>
            </w: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e di trasmissione</w:t>
            </w:r>
          </w:p>
        </w:tc>
        <w:tc>
          <w:tcPr>
            <w:tcW w:w="2496" w:type="dxa"/>
          </w:tcPr>
          <w:p w14:paraId="06A66AA5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  <w:tr w:rsidR="00BF158D" w14:paraId="31BCDD0F" w14:textId="77777777" w:rsidTr="005410CC">
        <w:trPr>
          <w:trHeight w:val="200"/>
        </w:trPr>
        <w:tc>
          <w:tcPr>
            <w:tcW w:w="2496" w:type="dxa"/>
            <w:vAlign w:val="center"/>
          </w:tcPr>
          <w:p w14:paraId="33750F06" w14:textId="77777777" w:rsidR="00BF158D" w:rsidRPr="00BF158D" w:rsidRDefault="00BF158D" w:rsidP="005410CC">
            <w:pPr>
              <w:rPr>
                <w:b/>
                <w:bCs/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b/>
                <w:bCs/>
                <w:sz w:val="18"/>
                <w:szCs w:val="18"/>
              </w:rPr>
              <w:t>Se</w:t>
            </w:r>
            <w:r w:rsidRPr="00BF158D">
              <w:rPr>
                <w:rStyle w:val="Titolo3Carattere"/>
                <w:rFonts w:ascii="Times New Roman" w:hAnsi="Times New Roman"/>
                <w:b w:val="0"/>
                <w:bCs w:val="0"/>
                <w:sz w:val="18"/>
                <w:szCs w:val="18"/>
              </w:rPr>
              <w:t xml:space="preserve">paratore centrifugo </w:t>
            </w:r>
          </w:p>
        </w:tc>
        <w:tc>
          <w:tcPr>
            <w:tcW w:w="2496" w:type="dxa"/>
            <w:vMerge/>
            <w:vAlign w:val="center"/>
          </w:tcPr>
          <w:p w14:paraId="2CCE2515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  <w:tc>
          <w:tcPr>
            <w:tcW w:w="2496" w:type="dxa"/>
            <w:vAlign w:val="center"/>
          </w:tcPr>
          <w:p w14:paraId="7B71708A" w14:textId="77777777" w:rsidR="00BF158D" w:rsidRPr="00BF158D" w:rsidRDefault="00BF158D" w:rsidP="005410CC">
            <w:pPr>
              <w:rPr>
                <w:sz w:val="18"/>
                <w:szCs w:val="18"/>
              </w:rPr>
            </w:pPr>
            <w:r w:rsidRPr="00BF158D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>Pulsante di arresto</w:t>
            </w:r>
          </w:p>
        </w:tc>
        <w:tc>
          <w:tcPr>
            <w:tcW w:w="2496" w:type="dxa"/>
          </w:tcPr>
          <w:p w14:paraId="49F75D23" w14:textId="77777777" w:rsidR="00BF158D" w:rsidRPr="00BF158D" w:rsidRDefault="00BF158D" w:rsidP="005410CC">
            <w:pPr>
              <w:rPr>
                <w:sz w:val="18"/>
                <w:szCs w:val="18"/>
              </w:rPr>
            </w:pPr>
          </w:p>
        </w:tc>
      </w:tr>
    </w:tbl>
    <w:p w14:paraId="50EA65EF" w14:textId="4B4AB7B3" w:rsidR="004F4F70" w:rsidRDefault="004F4F70" w:rsidP="008B08D7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3759C"/>
    <w:multiLevelType w:val="hybridMultilevel"/>
    <w:tmpl w:val="77965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F4416"/>
    <w:multiLevelType w:val="hybridMultilevel"/>
    <w:tmpl w:val="6BDE9978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D7"/>
    <w:rsid w:val="000059CE"/>
    <w:rsid w:val="004F4F70"/>
    <w:rsid w:val="008B08D7"/>
    <w:rsid w:val="00BF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7469"/>
  <w15:chartTrackingRefBased/>
  <w15:docId w15:val="{29DF9E12-F93E-4468-A8F0-75220C5D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08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B08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B08D7"/>
    <w:rPr>
      <w:rFonts w:ascii="Calibri Light" w:eastAsia="Times New Roman" w:hAnsi="Calibri Light" w:cs="Times New Roman"/>
      <w:b/>
      <w:bCs/>
      <w:sz w:val="26"/>
      <w:szCs w:val="26"/>
      <w:lang w:eastAsia="it-IT"/>
    </w:rPr>
  </w:style>
  <w:style w:type="table" w:styleId="Grigliatabella">
    <w:name w:val="Table Grid"/>
    <w:basedOn w:val="Tabellanormale"/>
    <w:uiPriority w:val="39"/>
    <w:rsid w:val="008B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Carpredefinitoparagrafo"/>
    <w:rsid w:val="00BF158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2020-12-16T09:26:00Z</dcterms:created>
  <dcterms:modified xsi:type="dcterms:W3CDTF">2020-12-16T10:19:00Z</dcterms:modified>
</cp:coreProperties>
</file>